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04</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7"/>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番茄细菌性斑点病抗性鉴定技术规程</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Technical code of practice for</w:t>
      </w:r>
      <w:r>
        <w:rPr>
          <w:rFonts w:hint="eastAsia" w:ascii="黑体" w:hAnsi="黑体" w:eastAsia="黑体"/>
          <w:szCs w:val="28"/>
        </w:rPr>
        <w:t xml:space="preserve"> evaluation of tomato for resistance to </w:t>
      </w:r>
      <w:r>
        <w:rPr>
          <w:rFonts w:ascii="黑体" w:hAnsi="黑体" w:eastAsia="黑体"/>
          <w:szCs w:val="28"/>
        </w:rPr>
        <w:t xml:space="preserve">bacterial spot </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94"/>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8"/>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F0DB5D8EF6924374A27B45BFB0EDD652"/>
        </w:placeholder>
      </w:sdtPr>
      <w:sdtContent>
        <w:p>
          <w:pPr>
            <w:pStyle w:val="178"/>
            <w:spacing w:beforeLines="182" w:afterLines="220"/>
          </w:pPr>
          <w:bookmarkStart w:id="20" w:name="NEW_STAND_NAME"/>
          <w:r>
            <w:rPr>
              <w:rFonts w:hint="eastAsia"/>
            </w:rPr>
            <w:t>番茄细菌性斑点病抗性鉴定技术规程</w:t>
          </w:r>
        </w:p>
      </w:sdtContent>
    </w:sdt>
    <w:bookmarkEnd w:id="20"/>
    <w:p>
      <w:pPr>
        <w:pStyle w:val="105"/>
        <w:spacing w:before="240" w:after="240"/>
      </w:pPr>
      <w:bookmarkStart w:id="21" w:name="_Toc26648465"/>
      <w:bookmarkStart w:id="22" w:name="_Toc24884211"/>
      <w:bookmarkStart w:id="23" w:name="_Toc17233333"/>
      <w:bookmarkStart w:id="24" w:name="_Toc26986530"/>
      <w:bookmarkStart w:id="25" w:name="_Toc17233325"/>
      <w:bookmarkStart w:id="26" w:name="_Toc26718930"/>
      <w:bookmarkStart w:id="27" w:name="_Toc24884218"/>
      <w:bookmarkStart w:id="28" w:name="_Toc26986771"/>
      <w:r>
        <w:rPr>
          <w:rFonts w:hint="eastAsia"/>
        </w:rPr>
        <w:t>范围</w:t>
      </w:r>
      <w:bookmarkEnd w:id="21"/>
      <w:bookmarkEnd w:id="22"/>
      <w:bookmarkEnd w:id="23"/>
      <w:bookmarkEnd w:id="24"/>
      <w:bookmarkEnd w:id="25"/>
      <w:bookmarkEnd w:id="26"/>
      <w:bookmarkEnd w:id="27"/>
      <w:bookmarkEnd w:id="28"/>
    </w:p>
    <w:p>
      <w:pPr>
        <w:pStyle w:val="57"/>
        <w:ind w:firstLine="420"/>
      </w:pPr>
      <w:bookmarkStart w:id="29" w:name="_Toc17233326"/>
      <w:bookmarkStart w:id="30" w:name="_Toc17233334"/>
      <w:bookmarkStart w:id="31" w:name="_Toc24884212"/>
      <w:bookmarkStart w:id="32" w:name="_Toc24884219"/>
      <w:bookmarkStart w:id="33" w:name="_Toc26648466"/>
      <w:r>
        <w:rPr>
          <w:rFonts w:hint="eastAsia"/>
        </w:rPr>
        <w:t>本文件规定了番茄细菌性斑点病</w:t>
      </w:r>
      <w:r>
        <w:t>抗性的相关术语和定义、接种体制备、</w:t>
      </w:r>
      <w:r>
        <w:rPr>
          <w:rFonts w:hint="eastAsia"/>
        </w:rPr>
        <w:t>病原菌鉴定、</w:t>
      </w:r>
      <w:r>
        <w:t>鉴定条件和试验设计、接种、病情调查、抗病性评价</w:t>
      </w:r>
      <w:r>
        <w:rPr>
          <w:rFonts w:hint="eastAsia"/>
        </w:rPr>
        <w:t>的操作指示。</w:t>
      </w:r>
    </w:p>
    <w:p>
      <w:pPr>
        <w:pStyle w:val="57"/>
        <w:ind w:firstLine="420"/>
      </w:pPr>
      <w:r>
        <w:rPr>
          <w:rFonts w:hint="eastAsia"/>
        </w:rPr>
        <w:t>本文件适用于番茄细菌性斑点病抗病性苗期室内鉴定和评价。</w:t>
      </w:r>
    </w:p>
    <w:p>
      <w:pPr>
        <w:pStyle w:val="105"/>
        <w:spacing w:before="240" w:after="240"/>
      </w:pPr>
      <w:bookmarkStart w:id="34" w:name="_Toc26718931"/>
      <w:bookmarkStart w:id="35" w:name="_Toc26986531"/>
      <w:bookmarkStart w:id="36" w:name="_Toc26986772"/>
      <w:r>
        <w:rPr>
          <w:rFonts w:hint="eastAsia"/>
        </w:rPr>
        <w:t>规范性引用文件</w:t>
      </w:r>
      <w:bookmarkEnd w:id="29"/>
      <w:bookmarkEnd w:id="30"/>
      <w:bookmarkEnd w:id="31"/>
      <w:bookmarkEnd w:id="32"/>
      <w:bookmarkEnd w:id="33"/>
      <w:bookmarkEnd w:id="34"/>
      <w:bookmarkEnd w:id="35"/>
      <w:bookmarkEnd w:id="36"/>
    </w:p>
    <w:sdt>
      <w:sdtPr>
        <w:rPr>
          <w:rFonts w:hint="eastAsia"/>
        </w:rPr>
        <w:id w:val="715848253"/>
        <w:placeholder>
          <w:docPart w:val="F15B8A3E39E64F6FB42E8016BEE494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6682  分析实验室用水规格和试验方法</w:t>
      </w:r>
    </w:p>
    <w:p>
      <w:pPr>
        <w:pStyle w:val="57"/>
        <w:ind w:firstLine="420"/>
      </w:pPr>
      <w:r>
        <w:t>NY/T 1858</w:t>
      </w:r>
      <w:r>
        <w:rPr>
          <w:rFonts w:hint="eastAsia"/>
        </w:rPr>
        <w:t>.1  番茄主要病害抗病性鉴定技术规程  第1部分：番茄抗晚疫病鉴定技术规程</w:t>
      </w:r>
    </w:p>
    <w:p>
      <w:pPr>
        <w:pStyle w:val="105"/>
        <w:spacing w:before="240" w:after="240"/>
      </w:pPr>
      <w:r>
        <w:rPr>
          <w:rFonts w:hint="eastAsia"/>
          <w:szCs w:val="21"/>
        </w:rPr>
        <w:t>术语和定义</w:t>
      </w:r>
    </w:p>
    <w:sdt>
      <w:sdtPr>
        <w:id w:val="-1909835108"/>
        <w:placeholder>
          <w:docPart w:val="FC54DBB14953456C95BBB591E1678A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7" w:name="_Toc26986532"/>
          <w:bookmarkEnd w:id="37"/>
          <w:r>
            <w:t>NY/T 1858</w:t>
          </w:r>
          <w:r>
            <w:rPr>
              <w:rFonts w:hint="eastAsia"/>
            </w:rPr>
            <w:t>.1</w:t>
          </w:r>
          <w:r>
            <w:t>界定的以及下列术语和定义适用于本文件。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番茄细菌性斑点病</w:t>
      </w:r>
    </w:p>
    <w:p>
      <w:pPr>
        <w:pStyle w:val="57"/>
        <w:ind w:firstLine="420"/>
        <w:rPr>
          <w:rFonts w:hAnsi="宋体"/>
        </w:rPr>
      </w:pPr>
      <w:r>
        <w:rPr>
          <w:rFonts w:hAnsi="宋体"/>
        </w:rPr>
        <w:t>由丁香假单胞杆菌番琉致病变种</w:t>
      </w:r>
      <w:r>
        <w:rPr>
          <w:rFonts w:hint="eastAsia" w:hAnsi="宋体"/>
        </w:rPr>
        <w:t>（</w:t>
      </w:r>
      <w:r>
        <w:rPr>
          <w:rFonts w:hAnsi="宋体"/>
          <w:i/>
          <w:iCs/>
        </w:rPr>
        <w:t>Pseudomonas syringae pv.tomato</w:t>
      </w:r>
      <w:r>
        <w:rPr>
          <w:rFonts w:hint="eastAsia" w:hAnsi="宋体"/>
        </w:rPr>
        <w:t>）</w:t>
      </w:r>
      <w:r>
        <w:rPr>
          <w:rFonts w:hAnsi="宋体"/>
        </w:rPr>
        <w:t>引起。叶片是主要的受危害部位，叶片边缘发病明显。初期斑点细小，呈圆形或近圆形，中间深褐色，周围有黄色晕圈，随后病斑慢慢扩大、增多，发病中后期，病斑变成黑色、深褐色，病斑直径</w:t>
      </w:r>
      <w:r>
        <w:rPr>
          <w:rFonts w:hint="eastAsia" w:hAnsi="宋体"/>
        </w:rPr>
        <w:t>2</w:t>
      </w:r>
      <w:r>
        <w:rPr>
          <w:rFonts w:hint="eastAsia" w:hAnsi="宋体"/>
          <w:vertAlign w:val="subscript"/>
        </w:rPr>
        <w:t xml:space="preserve"> </w:t>
      </w:r>
      <w:r>
        <w:rPr>
          <w:rFonts w:hint="eastAsia" w:hAnsi="宋体"/>
        </w:rPr>
        <w:t>mm～4</w:t>
      </w:r>
      <w:r>
        <w:rPr>
          <w:rFonts w:hint="eastAsia" w:hAnsi="宋体"/>
          <w:vertAlign w:val="subscript"/>
        </w:rPr>
        <w:t xml:space="preserve"> </w:t>
      </w:r>
      <w:r>
        <w:rPr>
          <w:rFonts w:hint="eastAsia" w:hAnsi="宋体"/>
        </w:rPr>
        <w:t>mm</w:t>
      </w:r>
      <w:r>
        <w:rPr>
          <w:rFonts w:hAnsi="宋体"/>
        </w:rPr>
        <w:t>，多个病斑可相互连接形成不规则的较大病斑。</w:t>
      </w:r>
    </w:p>
    <w:p>
      <w:pPr>
        <w:pStyle w:val="105"/>
        <w:spacing w:before="240" w:after="240"/>
      </w:pPr>
      <w:r>
        <w:rPr>
          <w:rFonts w:hint="eastAsia"/>
        </w:rPr>
        <w:t>试剂与材料</w:t>
      </w:r>
    </w:p>
    <w:p>
      <w:pPr>
        <w:pStyle w:val="106"/>
        <w:spacing w:before="120" w:after="120"/>
      </w:pPr>
      <w:r>
        <w:rPr>
          <w:rFonts w:hint="eastAsia"/>
        </w:rPr>
        <w:t>试剂</w:t>
      </w:r>
    </w:p>
    <w:p>
      <w:pPr>
        <w:pStyle w:val="57"/>
        <w:ind w:firstLine="420"/>
      </w:pPr>
      <w:r>
        <w:rPr>
          <w:rFonts w:hint="eastAsia"/>
        </w:rPr>
        <w:t>所用试剂在未加说明时均采用分析纯试剂。实验室用水应符合GB/T 6682中规定的三级水要求。</w:t>
      </w:r>
    </w:p>
    <w:p>
      <w:pPr>
        <w:pStyle w:val="106"/>
        <w:spacing w:before="120" w:after="120"/>
      </w:pPr>
      <w:r>
        <w:rPr>
          <w:rFonts w:hint="eastAsia"/>
        </w:rPr>
        <w:t>NA液体培养基</w:t>
      </w:r>
    </w:p>
    <w:p>
      <w:pPr>
        <w:pStyle w:val="57"/>
        <w:ind w:firstLine="420"/>
      </w:pPr>
      <w:r>
        <w:rPr>
          <w:rFonts w:hint="eastAsia"/>
        </w:rPr>
        <w:t>称取</w:t>
      </w:r>
      <w:r>
        <w:t>牛肉浸膏3</w:t>
      </w:r>
      <w:r>
        <w:rPr>
          <w:vertAlign w:val="subscript"/>
        </w:rPr>
        <w:t xml:space="preserve"> </w:t>
      </w:r>
      <w:r>
        <w:t>g</w:t>
      </w:r>
      <w:r>
        <w:rPr>
          <w:rFonts w:hint="eastAsia"/>
        </w:rPr>
        <w:t>，蛋白胨</w:t>
      </w:r>
      <w:r>
        <w:t>8</w:t>
      </w:r>
      <w:r>
        <w:rPr>
          <w:vertAlign w:val="subscript"/>
        </w:rPr>
        <w:t xml:space="preserve"> </w:t>
      </w:r>
      <w:r>
        <w:t>g，蔗糖或葡萄糖10</w:t>
      </w:r>
      <w:r>
        <w:rPr>
          <w:vertAlign w:val="subscript"/>
        </w:rPr>
        <w:t xml:space="preserve"> </w:t>
      </w:r>
      <w:r>
        <w:t>g，酵母浸膏</w:t>
      </w:r>
      <w:r>
        <w:rPr>
          <w:rFonts w:hint="eastAsia"/>
        </w:rPr>
        <w:t>1</w:t>
      </w:r>
      <w:r>
        <w:rPr>
          <w:vertAlign w:val="subscript"/>
        </w:rPr>
        <w:t xml:space="preserve"> </w:t>
      </w:r>
      <w:r>
        <w:t>g，加蒸储水至1</w:t>
      </w:r>
      <w:r>
        <w:rPr>
          <w:vertAlign w:val="subscript"/>
        </w:rPr>
        <w:t xml:space="preserve"> </w:t>
      </w:r>
      <w:r>
        <w:t>000</w:t>
      </w:r>
      <w:r>
        <w:rPr>
          <w:vertAlign w:val="subscript"/>
        </w:rPr>
        <w:t xml:space="preserve"> </w:t>
      </w:r>
      <w:r>
        <w:t>mL</w:t>
      </w:r>
      <w:r>
        <w:rPr>
          <w:rFonts w:hint="eastAsia"/>
        </w:rPr>
        <w:t>，加热煮沸，</w:t>
      </w:r>
      <w:r>
        <w:t>调节pH至</w:t>
      </w:r>
      <w:r>
        <w:rPr>
          <w:rFonts w:hint="eastAsia"/>
        </w:rPr>
        <w:t>7.0，</w:t>
      </w:r>
      <w:r>
        <w:t>分装</w:t>
      </w:r>
      <w:r>
        <w:rPr>
          <w:rFonts w:hint="eastAsia"/>
        </w:rPr>
        <w:t>，</w:t>
      </w:r>
      <w:r>
        <w:t>高压灭菌(121</w:t>
      </w:r>
      <w:r>
        <w:rPr>
          <w:rFonts w:hint="eastAsia"/>
          <w:vertAlign w:val="superscript"/>
        </w:rPr>
        <w:t xml:space="preserve"> </w:t>
      </w:r>
      <w:r>
        <w:rPr>
          <w:rFonts w:hint="eastAsia" w:hAnsi="宋体" w:cs="宋体"/>
        </w:rPr>
        <w:t>℃</w:t>
      </w:r>
      <w:r>
        <w:t>，25</w:t>
      </w:r>
      <w:r>
        <w:rPr>
          <w:vertAlign w:val="subscript"/>
        </w:rPr>
        <w:t xml:space="preserve"> </w:t>
      </w:r>
      <w:r>
        <w:t>min)。</w:t>
      </w:r>
    </w:p>
    <w:p>
      <w:pPr>
        <w:pStyle w:val="106"/>
        <w:spacing w:before="120" w:after="120"/>
        <w:rPr>
          <w:rFonts w:ascii="宋体" w:eastAsia="宋体"/>
        </w:rPr>
      </w:pPr>
      <w:r>
        <w:rPr>
          <w:rFonts w:hint="eastAsia"/>
        </w:rPr>
        <w:t>NA固体培养基</w:t>
      </w:r>
    </w:p>
    <w:p>
      <w:pPr>
        <w:pStyle w:val="57"/>
        <w:ind w:firstLine="420"/>
      </w:pPr>
      <w:r>
        <w:rPr>
          <w:rFonts w:hint="eastAsia"/>
        </w:rPr>
        <w:t>称取</w:t>
      </w:r>
      <w:r>
        <w:t>牛肉浸膏3</w:t>
      </w:r>
      <w:r>
        <w:rPr>
          <w:vertAlign w:val="subscript"/>
        </w:rPr>
        <w:t xml:space="preserve"> </w:t>
      </w:r>
      <w:r>
        <w:t>g，</w:t>
      </w:r>
      <w:r>
        <w:rPr>
          <w:rFonts w:hint="eastAsia"/>
        </w:rPr>
        <w:t>蛋白胨</w:t>
      </w:r>
      <w:r>
        <w:t>8</w:t>
      </w:r>
      <w:r>
        <w:rPr>
          <w:vertAlign w:val="subscript"/>
        </w:rPr>
        <w:t xml:space="preserve"> </w:t>
      </w:r>
      <w:r>
        <w:t>g，蔗糖或葡萄糖10</w:t>
      </w:r>
      <w:r>
        <w:rPr>
          <w:vertAlign w:val="subscript"/>
        </w:rPr>
        <w:t xml:space="preserve"> </w:t>
      </w:r>
      <w:r>
        <w:t>g，酵母浸膏1</w:t>
      </w:r>
      <w:r>
        <w:rPr>
          <w:vertAlign w:val="subscript"/>
        </w:rPr>
        <w:t xml:space="preserve"> </w:t>
      </w:r>
      <w:r>
        <w:t>g，加蒸储水至1</w:t>
      </w:r>
      <w:r>
        <w:rPr>
          <w:vertAlign w:val="subscript"/>
        </w:rPr>
        <w:t xml:space="preserve"> </w:t>
      </w:r>
      <w:r>
        <w:t>000</w:t>
      </w:r>
      <w:r>
        <w:rPr>
          <w:vertAlign w:val="subscript"/>
        </w:rPr>
        <w:t xml:space="preserve"> </w:t>
      </w:r>
      <w:r>
        <w:t>mL</w:t>
      </w:r>
      <w:r>
        <w:rPr>
          <w:rFonts w:hint="eastAsia"/>
        </w:rPr>
        <w:t>，先将琼脂加热熔化于大部水中，再将其余各成分用少量水化开加入，煮沸，</w:t>
      </w:r>
      <w:r>
        <w:t>调节pH至</w:t>
      </w:r>
      <w:r>
        <w:rPr>
          <w:rFonts w:hint="eastAsia"/>
        </w:rPr>
        <w:t>7.0，</w:t>
      </w:r>
      <w:r>
        <w:t>分装</w:t>
      </w:r>
      <w:r>
        <w:rPr>
          <w:rFonts w:hint="eastAsia"/>
        </w:rPr>
        <w:t>，</w:t>
      </w:r>
      <w:r>
        <w:t>高压灭菌(121</w:t>
      </w:r>
      <w:r>
        <w:rPr>
          <w:rFonts w:hint="eastAsia"/>
          <w:vertAlign w:val="superscript"/>
        </w:rPr>
        <w:t xml:space="preserve"> </w:t>
      </w:r>
      <w:r>
        <w:rPr>
          <w:rFonts w:hint="eastAsia"/>
        </w:rPr>
        <w:t>℃</w:t>
      </w:r>
      <w:r>
        <w:t>，25</w:t>
      </w:r>
      <w:r>
        <w:rPr>
          <w:vertAlign w:val="subscript"/>
        </w:rPr>
        <w:t xml:space="preserve"> </w:t>
      </w:r>
      <w:r>
        <w:t>min)。</w:t>
      </w:r>
    </w:p>
    <w:p>
      <w:pPr>
        <w:pStyle w:val="105"/>
        <w:spacing w:before="240" w:after="240"/>
      </w:pPr>
      <w:r>
        <w:rPr>
          <w:rFonts w:hint="eastAsia"/>
        </w:rPr>
        <w:t>接种体制备</w:t>
      </w:r>
    </w:p>
    <w:p>
      <w:pPr>
        <w:pStyle w:val="106"/>
        <w:spacing w:before="120" w:after="120"/>
      </w:pPr>
      <w:r>
        <w:rPr>
          <w:rFonts w:hint="eastAsia"/>
        </w:rPr>
        <w:t>病原菌分离</w:t>
      </w:r>
    </w:p>
    <w:p>
      <w:pPr>
        <w:pStyle w:val="166"/>
        <w:rPr>
          <w:rFonts w:hint="eastAsia" w:ascii="Times New Roman"/>
        </w:rPr>
      </w:pPr>
      <w:r>
        <w:t>采样时选取发病典型、新发病的番茄叶片，用封口</w:t>
      </w:r>
      <w:r>
        <w:rPr>
          <w:rFonts w:hint="eastAsia"/>
        </w:rPr>
        <w:t>袋</w:t>
      </w:r>
      <w:r>
        <w:t>保存，做好采集地点、时间的记录，及时带回实验室，用常规组织分离法分离病原菌。</w:t>
      </w:r>
    </w:p>
    <w:p>
      <w:pPr>
        <w:pStyle w:val="106"/>
        <w:numPr>
          <w:ilvl w:val="0"/>
          <w:numId w:val="0"/>
        </w:numPr>
        <w:spacing w:before="120" w:after="120"/>
      </w:pPr>
    </w:p>
    <w:p>
      <w:pPr>
        <w:pStyle w:val="166"/>
      </w:pPr>
      <w:r>
        <w:t>将工具放置在超净</w:t>
      </w:r>
      <w:r>
        <w:rPr>
          <w:rFonts w:hint="eastAsia"/>
        </w:rPr>
        <w:t>工作</w:t>
      </w:r>
      <w:r>
        <w:t>台上，打开紫外灯灭菌</w:t>
      </w:r>
      <w:r>
        <w:rPr>
          <w:rFonts w:hint="eastAsia"/>
        </w:rPr>
        <w:t>40</w:t>
      </w:r>
      <w:r>
        <w:rPr>
          <w:vertAlign w:val="subscript"/>
        </w:rPr>
        <w:t xml:space="preserve"> </w:t>
      </w:r>
      <w:r>
        <w:rPr>
          <w:rFonts w:hint="eastAsia"/>
        </w:rPr>
        <w:t>min</w:t>
      </w:r>
      <w:r>
        <w:t>。用剪刀剪取病健交界处组织并制片，在显微镜下进行观察是否具有喷菌现象。将出现喷菌现象的组织在无菌条件下进行分离</w:t>
      </w:r>
      <w:r>
        <w:rPr>
          <w:rFonts w:hint="eastAsia"/>
        </w:rPr>
        <w:t>。</w:t>
      </w:r>
      <w:r>
        <w:t>用</w:t>
      </w:r>
      <w:r>
        <w:rPr>
          <w:rFonts w:hint="eastAsia"/>
        </w:rPr>
        <w:t>75</w:t>
      </w:r>
      <w:r>
        <w:t>％的</w:t>
      </w:r>
      <w:r>
        <w:rPr>
          <w:rFonts w:hint="eastAsia"/>
        </w:rPr>
        <w:t>乙醇溶液</w:t>
      </w:r>
      <w:r>
        <w:t>消毒</w:t>
      </w:r>
      <w:r>
        <w:rPr>
          <w:rFonts w:hint="eastAsia"/>
        </w:rPr>
        <w:t>30</w:t>
      </w:r>
      <w:r>
        <w:rPr>
          <w:vertAlign w:val="subscript"/>
        </w:rPr>
        <w:t xml:space="preserve"> </w:t>
      </w:r>
      <w:r>
        <w:rPr>
          <w:rFonts w:hint="eastAsia"/>
        </w:rPr>
        <w:t>s后</w:t>
      </w:r>
      <w:r>
        <w:t>用</w:t>
      </w:r>
      <w:r>
        <w:rPr>
          <w:rFonts w:hint="eastAsia"/>
        </w:rPr>
        <w:t>无菌</w:t>
      </w:r>
      <w:r>
        <w:t>水冲洗</w:t>
      </w:r>
      <w:r>
        <w:rPr>
          <w:rFonts w:hint="eastAsia"/>
        </w:rPr>
        <w:t>1</w:t>
      </w:r>
      <w:r>
        <w:t>次，</w:t>
      </w:r>
      <w:r>
        <w:rPr>
          <w:rFonts w:hint="eastAsia"/>
        </w:rPr>
        <w:t>再</w:t>
      </w:r>
      <w:r>
        <w:t>用0.1％</w:t>
      </w:r>
      <w:r>
        <w:rPr>
          <w:rFonts w:hint="eastAsia"/>
        </w:rPr>
        <w:t>HgCl</w:t>
      </w:r>
      <w:r>
        <w:t>消毒20</w:t>
      </w:r>
      <w:r>
        <w:rPr>
          <w:vertAlign w:val="subscript"/>
        </w:rPr>
        <w:t xml:space="preserve"> </w:t>
      </w:r>
      <w:r>
        <w:t>s</w:t>
      </w:r>
      <w:r>
        <w:rPr>
          <w:rFonts w:hint="eastAsia"/>
        </w:rPr>
        <w:t>后</w:t>
      </w:r>
      <w:r>
        <w:t>用无菌水冲洗</w:t>
      </w:r>
      <w:r>
        <w:rPr>
          <w:rFonts w:hint="eastAsia"/>
        </w:rPr>
        <w:t>3</w:t>
      </w:r>
      <w:r>
        <w:t>次</w:t>
      </w:r>
      <w:r>
        <w:rPr>
          <w:rFonts w:hint="eastAsia"/>
        </w:rPr>
        <w:t>。</w:t>
      </w:r>
      <w:r>
        <w:t>将清洗后的组织剪碎，加入3</w:t>
      </w:r>
      <w:r>
        <w:rPr>
          <w:vertAlign w:val="subscript"/>
        </w:rPr>
        <w:t xml:space="preserve"> </w:t>
      </w:r>
      <w:r>
        <w:t>ml无菌水，静置10</w:t>
      </w:r>
      <w:r>
        <w:rPr>
          <w:vertAlign w:val="subscript"/>
        </w:rPr>
        <w:t xml:space="preserve"> </w:t>
      </w:r>
      <w:r>
        <w:t>min。接种环在酒精灯上烧红后晾冷，沾取菌液，在</w:t>
      </w:r>
      <w:r>
        <w:rPr>
          <w:rFonts w:hint="eastAsia"/>
        </w:rPr>
        <w:t>NA</w:t>
      </w:r>
      <w:r>
        <w:t>固体培养基上划线。</w:t>
      </w:r>
      <w:r>
        <w:rPr>
          <w:rFonts w:hint="eastAsia"/>
        </w:rPr>
        <w:t>于28</w:t>
      </w:r>
      <w:r>
        <w:rPr>
          <w:rFonts w:hint="eastAsia"/>
          <w:vertAlign w:val="subscript"/>
        </w:rPr>
        <w:t xml:space="preserve"> </w:t>
      </w:r>
      <w:r>
        <w:rPr>
          <w:rFonts w:hint="eastAsia"/>
        </w:rPr>
        <w:t>℃恒温培养箱下培养。</w:t>
      </w:r>
    </w:p>
    <w:p>
      <w:pPr>
        <w:pStyle w:val="106"/>
        <w:spacing w:before="120" w:after="120"/>
        <w:rPr>
          <w:rFonts w:ascii="宋体" w:hAnsi="宋体" w:eastAsia="宋体"/>
        </w:rPr>
      </w:pPr>
      <w:r>
        <w:rPr>
          <w:rFonts w:hint="eastAsia"/>
        </w:rPr>
        <w:t>病原菌纯化</w:t>
      </w:r>
    </w:p>
    <w:p>
      <w:pPr>
        <w:pStyle w:val="57"/>
        <w:ind w:firstLine="420"/>
      </w:pPr>
      <w:r>
        <w:rPr>
          <w:rFonts w:hAnsi="宋体"/>
        </w:rPr>
        <w:t>分离培养</w:t>
      </w:r>
      <w:r>
        <w:rPr>
          <w:rFonts w:hint="eastAsia" w:hAnsi="宋体"/>
        </w:rPr>
        <w:t>2</w:t>
      </w:r>
      <w:r>
        <w:rPr>
          <w:vertAlign w:val="subscript"/>
        </w:rPr>
        <w:t xml:space="preserve"> </w:t>
      </w:r>
      <w:r>
        <w:rPr>
          <w:rFonts w:hint="eastAsia" w:hAnsi="宋体"/>
        </w:rPr>
        <w:t>d后，用消毒接种环</w:t>
      </w:r>
      <w:r>
        <w:rPr>
          <w:rFonts w:hAnsi="宋体"/>
        </w:rPr>
        <w:t>挑选单菌落在</w:t>
      </w:r>
      <w:r>
        <w:rPr>
          <w:rFonts w:hint="eastAsia" w:hAnsi="宋体"/>
        </w:rPr>
        <w:t>NA</w:t>
      </w:r>
      <w:r>
        <w:rPr>
          <w:rFonts w:hAnsi="宋体"/>
        </w:rPr>
        <w:t>固</w:t>
      </w:r>
      <w:r>
        <w:t>体培养基上进行划线。重复进行</w:t>
      </w:r>
      <w:r>
        <w:rPr>
          <w:rFonts w:hint="eastAsia"/>
        </w:rPr>
        <w:t>纯化操作</w:t>
      </w:r>
      <w:r>
        <w:t>，直至菌落形态一致</w:t>
      </w:r>
      <w:r>
        <w:rPr>
          <w:rFonts w:hint="eastAsia"/>
        </w:rPr>
        <w:t>，无杂菌</w:t>
      </w:r>
      <w:r>
        <w:t>。</w:t>
      </w:r>
    </w:p>
    <w:p>
      <w:pPr>
        <w:pStyle w:val="106"/>
        <w:spacing w:before="120" w:after="120"/>
      </w:pPr>
      <w:r>
        <w:rPr>
          <w:rFonts w:hint="eastAsia"/>
        </w:rPr>
        <w:t>接种体保存</w:t>
      </w:r>
    </w:p>
    <w:p>
      <w:pPr>
        <w:pStyle w:val="57"/>
        <w:ind w:firstLine="420"/>
        <w:rPr>
          <w:rFonts w:hAnsi="宋体"/>
        </w:rPr>
      </w:pPr>
      <w:r>
        <w:rPr>
          <w:rFonts w:hAnsi="宋体"/>
        </w:rPr>
        <w:t>将</w:t>
      </w:r>
      <w:r>
        <w:rPr>
          <w:rFonts w:hint="eastAsia" w:hAnsi="宋体"/>
        </w:rPr>
        <w:t>纯化</w:t>
      </w:r>
      <w:r>
        <w:rPr>
          <w:rFonts w:hAnsi="宋体"/>
        </w:rPr>
        <w:t>菌落移至1</w:t>
      </w:r>
      <w:r>
        <w:rPr>
          <w:vertAlign w:val="subscript"/>
        </w:rPr>
        <w:t xml:space="preserve"> </w:t>
      </w:r>
      <w:r>
        <w:rPr>
          <w:rFonts w:hAnsi="宋体"/>
        </w:rPr>
        <w:t>ml</w:t>
      </w:r>
      <w:r>
        <w:rPr>
          <w:rFonts w:hint="eastAsia" w:hAnsi="宋体"/>
        </w:rPr>
        <w:t>灭菌离</w:t>
      </w:r>
      <w:r>
        <w:rPr>
          <w:rFonts w:hAnsi="宋体"/>
        </w:rPr>
        <w:t>心管中</w:t>
      </w:r>
      <w:r>
        <w:rPr>
          <w:rFonts w:hint="eastAsia" w:hAnsi="宋体"/>
        </w:rPr>
        <w:t>，</w:t>
      </w:r>
      <w:r>
        <w:rPr>
          <w:rFonts w:hAnsi="宋体"/>
        </w:rPr>
        <w:t>放置在</w:t>
      </w:r>
      <w:r>
        <w:rPr>
          <w:rFonts w:hint="eastAsia" w:hAnsi="宋体"/>
        </w:rPr>
        <w:t>-</w:t>
      </w:r>
      <w:r>
        <w:rPr>
          <w:rFonts w:hAnsi="宋体"/>
        </w:rPr>
        <w:t>25</w:t>
      </w:r>
      <w:r>
        <w:rPr>
          <w:rFonts w:hint="eastAsia" w:hAnsi="宋体"/>
          <w:vertAlign w:val="subscript"/>
        </w:rPr>
        <w:t xml:space="preserve"> </w:t>
      </w:r>
      <w:r>
        <w:rPr>
          <w:rFonts w:hint="eastAsia" w:hAnsi="宋体" w:cs="宋体"/>
        </w:rPr>
        <w:t>℃</w:t>
      </w:r>
      <w:r>
        <w:rPr>
          <w:rFonts w:hAnsi="宋体"/>
        </w:rPr>
        <w:t>冰箱中保存</w:t>
      </w:r>
      <w:r>
        <w:rPr>
          <w:rFonts w:hint="eastAsia" w:hAnsi="宋体"/>
        </w:rPr>
        <w:t>。</w:t>
      </w:r>
    </w:p>
    <w:p>
      <w:pPr>
        <w:pStyle w:val="105"/>
        <w:spacing w:before="240" w:after="240"/>
        <w:rPr>
          <w:rFonts w:ascii="宋体" w:eastAsia="宋体"/>
        </w:rPr>
      </w:pPr>
      <w:r>
        <w:rPr>
          <w:rFonts w:hint="eastAsia"/>
        </w:rPr>
        <w:t>病原菌鉴定</w:t>
      </w:r>
    </w:p>
    <w:p>
      <w:pPr>
        <w:pStyle w:val="106"/>
        <w:spacing w:before="120" w:after="120"/>
      </w:pPr>
      <w:r>
        <w:rPr>
          <w:rFonts w:hint="eastAsia"/>
        </w:rPr>
        <w:t>致病性鉴定</w:t>
      </w:r>
    </w:p>
    <w:p>
      <w:pPr>
        <w:pStyle w:val="66"/>
        <w:spacing w:before="120" w:after="120"/>
      </w:pPr>
      <w:r>
        <w:rPr>
          <w:rFonts w:hint="eastAsia"/>
        </w:rPr>
        <w:t>接种悬浮液制备</w:t>
      </w:r>
    </w:p>
    <w:p>
      <w:pPr>
        <w:pStyle w:val="57"/>
        <w:ind w:firstLine="420"/>
        <w:rPr>
          <w:rFonts w:hAnsi="宋体"/>
        </w:rPr>
      </w:pPr>
      <w:r>
        <w:rPr>
          <w:rFonts w:hAnsi="宋体"/>
        </w:rPr>
        <w:t>将保存的病原菌转移到</w:t>
      </w:r>
      <w:r>
        <w:rPr>
          <w:rFonts w:hint="eastAsia" w:hAnsi="宋体"/>
        </w:rPr>
        <w:t>NA</w:t>
      </w:r>
      <w:r>
        <w:rPr>
          <w:rFonts w:hAnsi="宋体"/>
        </w:rPr>
        <w:t>液体培养基中，温度28</w:t>
      </w:r>
      <w:r>
        <w:rPr>
          <w:rFonts w:hint="eastAsia" w:hAnsi="宋体"/>
          <w:vertAlign w:val="superscript"/>
        </w:rPr>
        <w:t xml:space="preserve"> </w:t>
      </w:r>
      <w:r>
        <w:rPr>
          <w:rFonts w:hint="eastAsia" w:hAnsi="宋体" w:cs="宋体"/>
        </w:rPr>
        <w:t>℃</w:t>
      </w:r>
      <w:r>
        <w:rPr>
          <w:rFonts w:hAnsi="宋体"/>
        </w:rPr>
        <w:t>，转速120</w:t>
      </w:r>
      <w:r>
        <w:rPr>
          <w:vertAlign w:val="subscript"/>
        </w:rPr>
        <w:t xml:space="preserve"> </w:t>
      </w:r>
      <w:r>
        <w:rPr>
          <w:rFonts w:hAnsi="宋体"/>
        </w:rPr>
        <w:t>r/min，震荡培养48</w:t>
      </w:r>
      <w:r>
        <w:rPr>
          <w:vertAlign w:val="subscript"/>
        </w:rPr>
        <w:t xml:space="preserve"> </w:t>
      </w:r>
      <w:r>
        <w:rPr>
          <w:rFonts w:hAnsi="宋体"/>
        </w:rPr>
        <w:t>h。在波长λ＝600的条件下测定OD值，将菌液稀释至OD</w:t>
      </w:r>
      <w:r>
        <w:rPr>
          <w:rFonts w:hint="eastAsia" w:hAnsi="宋体"/>
        </w:rPr>
        <w:t>值</w:t>
      </w:r>
      <w:r>
        <w:rPr>
          <w:rFonts w:hAnsi="宋体"/>
        </w:rPr>
        <w:t>0.6</w:t>
      </w:r>
      <w:r>
        <w:rPr>
          <w:rFonts w:hint="eastAsia" w:hAnsi="宋体"/>
        </w:rPr>
        <w:t>～</w:t>
      </w:r>
      <w:r>
        <w:rPr>
          <w:rFonts w:hAnsi="宋体"/>
        </w:rPr>
        <w:t>0.8</w:t>
      </w:r>
      <w:r>
        <w:rPr>
          <w:rFonts w:hint="eastAsia" w:hAnsi="宋体"/>
        </w:rPr>
        <w:t>，</w:t>
      </w:r>
      <w:r>
        <w:rPr>
          <w:rFonts w:hAnsi="宋体"/>
        </w:rPr>
        <w:t>菌液浓度为1×10</w:t>
      </w:r>
      <w:r>
        <w:rPr>
          <w:rFonts w:hAnsi="宋体"/>
          <w:vertAlign w:val="superscript"/>
        </w:rPr>
        <w:t>8</w:t>
      </w:r>
      <w:r>
        <w:rPr>
          <w:vertAlign w:val="subscript"/>
        </w:rPr>
        <w:t xml:space="preserve"> </w:t>
      </w:r>
      <w:r>
        <w:rPr>
          <w:rFonts w:hAnsi="宋体"/>
        </w:rPr>
        <w:t>cfu/ml</w:t>
      </w:r>
      <w:r>
        <w:rPr>
          <w:rFonts w:hint="eastAsia" w:hAnsi="宋体"/>
        </w:rPr>
        <w:t>。</w:t>
      </w:r>
    </w:p>
    <w:p>
      <w:pPr>
        <w:pStyle w:val="66"/>
        <w:spacing w:before="120" w:after="120"/>
      </w:pPr>
      <w:r>
        <w:rPr>
          <w:rFonts w:hint="eastAsia"/>
        </w:rPr>
        <w:t>烟草过敏反应</w:t>
      </w:r>
    </w:p>
    <w:p>
      <w:pPr>
        <w:pStyle w:val="57"/>
        <w:ind w:firstLine="420"/>
        <w:rPr>
          <w:rFonts w:hAnsi="宋体"/>
        </w:rPr>
      </w:pPr>
      <w:r>
        <w:rPr>
          <w:rFonts w:hAnsi="宋体"/>
        </w:rPr>
        <w:t>用注射器吸取菌液，沿着叶脉注射到烟草叶片叶肉组织中，24</w:t>
      </w:r>
      <w:r>
        <w:rPr>
          <w:vertAlign w:val="subscript"/>
        </w:rPr>
        <w:t xml:space="preserve"> </w:t>
      </w:r>
      <w:r>
        <w:rPr>
          <w:rFonts w:hint="eastAsia" w:hAnsi="宋体"/>
        </w:rPr>
        <w:t>h后</w:t>
      </w:r>
      <w:r>
        <w:rPr>
          <w:rFonts w:hAnsi="宋体"/>
        </w:rPr>
        <w:t>观察</w:t>
      </w:r>
      <w:r>
        <w:rPr>
          <w:rFonts w:hint="eastAsia" w:hAnsi="宋体"/>
        </w:rPr>
        <w:t>是否出现</w:t>
      </w:r>
      <w:r>
        <w:rPr>
          <w:rFonts w:hAnsi="宋体"/>
        </w:rPr>
        <w:t>斑枯过敏反应。</w:t>
      </w:r>
    </w:p>
    <w:p>
      <w:pPr>
        <w:pStyle w:val="66"/>
        <w:spacing w:before="120" w:after="120"/>
      </w:pPr>
      <w:r>
        <w:rPr>
          <w:rFonts w:hint="eastAsia"/>
        </w:rPr>
        <w:t>接种</w:t>
      </w:r>
    </w:p>
    <w:p>
      <w:pPr>
        <w:pStyle w:val="57"/>
        <w:ind w:firstLine="420"/>
        <w:rPr>
          <w:rFonts w:hAnsi="宋体"/>
        </w:rPr>
      </w:pPr>
      <w:r>
        <w:rPr>
          <w:rFonts w:hAnsi="宋体"/>
        </w:rPr>
        <w:t>用注射器吸取菌液</w:t>
      </w:r>
      <w:r>
        <w:rPr>
          <w:rFonts w:hint="eastAsia" w:hAnsi="宋体"/>
        </w:rPr>
        <w:t>，</w:t>
      </w:r>
      <w:r>
        <w:rPr>
          <w:rFonts w:hAnsi="宋体"/>
        </w:rPr>
        <w:t>沿着叶脉注射到健康番茄植株叶片组织</w:t>
      </w:r>
      <w:r>
        <w:rPr>
          <w:rFonts w:hint="eastAsia" w:hAnsi="宋体"/>
        </w:rPr>
        <w:t>中，</w:t>
      </w:r>
      <w:r>
        <w:rPr>
          <w:rFonts w:hAnsi="宋体"/>
        </w:rPr>
        <w:t>接种后，置于温度25</w:t>
      </w:r>
      <w:r>
        <w:rPr>
          <w:rFonts w:hint="eastAsia" w:hAnsi="宋体"/>
          <w:vertAlign w:val="superscript"/>
        </w:rPr>
        <w:t xml:space="preserve"> </w:t>
      </w:r>
      <w:r>
        <w:rPr>
          <w:rFonts w:hint="eastAsia" w:hAnsi="宋体" w:cs="宋体"/>
        </w:rPr>
        <w:t>℃</w:t>
      </w:r>
      <w:r>
        <w:rPr>
          <w:rFonts w:hAnsi="宋体"/>
        </w:rPr>
        <w:t>，空气湿度9</w:t>
      </w:r>
      <w:r>
        <w:rPr>
          <w:rFonts w:hint="eastAsia" w:hAnsi="宋体"/>
        </w:rPr>
        <w:t>0％～100</w:t>
      </w:r>
      <w:r>
        <w:rPr>
          <w:rFonts w:hAnsi="宋体"/>
        </w:rPr>
        <w:t>％</w:t>
      </w:r>
      <w:r>
        <w:rPr>
          <w:rFonts w:hint="eastAsia" w:hAnsi="宋体"/>
        </w:rPr>
        <w:t>的</w:t>
      </w:r>
      <w:r>
        <w:rPr>
          <w:rFonts w:hAnsi="宋体"/>
        </w:rPr>
        <w:t>人工气候箱中培养。</w:t>
      </w:r>
    </w:p>
    <w:p>
      <w:pPr>
        <w:pStyle w:val="66"/>
        <w:spacing w:before="120" w:after="120"/>
      </w:pPr>
      <w:r>
        <w:rPr>
          <w:rFonts w:hint="eastAsia"/>
        </w:rPr>
        <w:t>结果判定</w:t>
      </w:r>
    </w:p>
    <w:p>
      <w:pPr>
        <w:pStyle w:val="57"/>
        <w:ind w:firstLine="420"/>
      </w:pPr>
      <w:r>
        <w:rPr>
          <w:rFonts w:hint="eastAsia"/>
        </w:rPr>
        <w:t>烟</w:t>
      </w:r>
      <w:r>
        <w:t>草发生</w:t>
      </w:r>
      <w:r>
        <w:rPr>
          <w:rFonts w:hint="eastAsia"/>
        </w:rPr>
        <w:t>斑枯</w:t>
      </w:r>
      <w:r>
        <w:t>过敏反应</w:t>
      </w:r>
      <w:r>
        <w:rPr>
          <w:rFonts w:hint="eastAsia"/>
        </w:rPr>
        <w:t>和</w:t>
      </w:r>
      <w:r>
        <w:t>接种健康番茄植株</w:t>
      </w:r>
      <w:r>
        <w:rPr>
          <w:rFonts w:hint="eastAsia"/>
        </w:rPr>
        <w:t>后</w:t>
      </w:r>
      <w:r>
        <w:t>，叶片出现斑点，斑点有黄色晕圈等典型症状可初步判</w:t>
      </w:r>
      <w:r>
        <w:rPr>
          <w:rFonts w:hint="eastAsia"/>
        </w:rPr>
        <w:t>定</w:t>
      </w:r>
      <w:r>
        <w:t>病原菌为番茄细菌性斑点病致病菌。</w:t>
      </w:r>
    </w:p>
    <w:p>
      <w:pPr>
        <w:pStyle w:val="106"/>
        <w:spacing w:before="120" w:after="120"/>
        <w:rPr>
          <w:rFonts w:hAnsi="黑体"/>
        </w:rPr>
      </w:pPr>
      <w:r>
        <w:rPr>
          <w:rFonts w:hAnsi="黑体"/>
        </w:rPr>
        <w:t>病原菌16s rDNA分子鉴定</w:t>
      </w:r>
    </w:p>
    <w:p>
      <w:pPr>
        <w:pStyle w:val="66"/>
        <w:spacing w:before="120" w:after="120"/>
      </w:pPr>
      <w:r>
        <w:rPr>
          <w:rFonts w:hint="eastAsia"/>
        </w:rPr>
        <w:t>DNA制备</w:t>
      </w:r>
    </w:p>
    <w:p>
      <w:pPr>
        <w:pStyle w:val="57"/>
        <w:ind w:firstLine="420"/>
        <w:rPr>
          <w:rFonts w:hAnsi="宋体"/>
        </w:rPr>
      </w:pPr>
      <w:r>
        <w:rPr>
          <w:rFonts w:hAnsi="宋体"/>
        </w:rPr>
        <w:t>保存的</w:t>
      </w:r>
      <w:r>
        <w:rPr>
          <w:rFonts w:hint="eastAsia" w:hAnsi="宋体"/>
        </w:rPr>
        <w:t>接种体</w:t>
      </w:r>
      <w:r>
        <w:rPr>
          <w:rFonts w:hAnsi="宋体"/>
        </w:rPr>
        <w:t>活化后，用接种环挑取</w:t>
      </w:r>
      <w:r>
        <w:rPr>
          <w:rFonts w:hint="eastAsia" w:hAnsi="宋体"/>
        </w:rPr>
        <w:t>1</w:t>
      </w:r>
      <w:r>
        <w:rPr>
          <w:rFonts w:hAnsi="宋体"/>
        </w:rPr>
        <w:t>环新鲜的菌落</w:t>
      </w:r>
      <w:r>
        <w:rPr>
          <w:rFonts w:hint="eastAsia" w:hAnsi="宋体"/>
        </w:rPr>
        <w:t>放入装有</w:t>
      </w:r>
      <w:r>
        <w:rPr>
          <w:rFonts w:hAnsi="宋体"/>
        </w:rPr>
        <w:t>0.5</w:t>
      </w:r>
      <w:r>
        <w:rPr>
          <w:vertAlign w:val="subscript"/>
        </w:rPr>
        <w:t xml:space="preserve"> </w:t>
      </w:r>
      <w:r>
        <w:rPr>
          <w:rFonts w:hint="eastAsia" w:hAnsi="宋体"/>
        </w:rPr>
        <w:t>ml</w:t>
      </w:r>
      <w:r>
        <w:rPr>
          <w:rFonts w:hAnsi="宋体"/>
        </w:rPr>
        <w:t>灭菌水的离心管中，置于震荡器充分震荡混匀。放入100</w:t>
      </w:r>
      <w:r>
        <w:rPr>
          <w:rFonts w:hint="eastAsia" w:hAnsi="宋体"/>
          <w:vertAlign w:val="superscript"/>
        </w:rPr>
        <w:t xml:space="preserve"> </w:t>
      </w:r>
      <w:r>
        <w:rPr>
          <w:rFonts w:hint="eastAsia" w:hAnsi="宋体" w:cs="宋体"/>
        </w:rPr>
        <w:t>℃</w:t>
      </w:r>
      <w:r>
        <w:rPr>
          <w:rFonts w:hAnsi="宋体"/>
        </w:rPr>
        <w:t>水中加热5</w:t>
      </w:r>
      <w:r>
        <w:rPr>
          <w:vertAlign w:val="subscript"/>
        </w:rPr>
        <w:t xml:space="preserve"> </w:t>
      </w:r>
      <w:r>
        <w:rPr>
          <w:rFonts w:hAnsi="宋体"/>
        </w:rPr>
        <w:t>min</w:t>
      </w:r>
      <w:r>
        <w:rPr>
          <w:rFonts w:hint="eastAsia" w:hAnsi="宋体"/>
        </w:rPr>
        <w:t>后</w:t>
      </w:r>
      <w:r>
        <w:rPr>
          <w:rFonts w:hAnsi="宋体"/>
        </w:rPr>
        <w:t>，快速转入冰水混合物中放置10</w:t>
      </w:r>
      <w:r>
        <w:rPr>
          <w:vertAlign w:val="subscript"/>
        </w:rPr>
        <w:t xml:space="preserve"> </w:t>
      </w:r>
      <w:r>
        <w:rPr>
          <w:rFonts w:hAnsi="宋体"/>
        </w:rPr>
        <w:t>min。在</w:t>
      </w:r>
      <w:r>
        <w:rPr>
          <w:rFonts w:hint="eastAsia" w:hAnsi="宋体"/>
        </w:rPr>
        <w:t>转速</w:t>
      </w:r>
      <w:r>
        <w:rPr>
          <w:rFonts w:hAnsi="宋体"/>
        </w:rPr>
        <w:t>4000</w:t>
      </w:r>
      <w:r>
        <w:rPr>
          <w:vertAlign w:val="subscript"/>
        </w:rPr>
        <w:t xml:space="preserve"> </w:t>
      </w:r>
      <w:r>
        <w:rPr>
          <w:rFonts w:hAnsi="宋体"/>
        </w:rPr>
        <w:t>r/min，离心10</w:t>
      </w:r>
      <w:r>
        <w:rPr>
          <w:vertAlign w:val="subscript"/>
        </w:rPr>
        <w:t xml:space="preserve"> </w:t>
      </w:r>
      <w:r>
        <w:rPr>
          <w:rFonts w:hAnsi="宋体"/>
        </w:rPr>
        <w:t>min</w:t>
      </w:r>
      <w:r>
        <w:rPr>
          <w:rFonts w:hint="eastAsia" w:hAnsi="宋体"/>
        </w:rPr>
        <w:t>后</w:t>
      </w:r>
      <w:r>
        <w:rPr>
          <w:rFonts w:hAnsi="宋体"/>
        </w:rPr>
        <w:t>，取上清液</w:t>
      </w:r>
      <w:r>
        <w:rPr>
          <w:rFonts w:hint="eastAsia" w:hAnsi="宋体"/>
        </w:rPr>
        <w:t>。</w:t>
      </w:r>
    </w:p>
    <w:p>
      <w:pPr>
        <w:pStyle w:val="66"/>
        <w:spacing w:before="120" w:after="120"/>
      </w:pPr>
      <w:r>
        <w:rPr>
          <w:rFonts w:hint="eastAsia"/>
        </w:rPr>
        <w:t>PCR扩增</w:t>
      </w:r>
    </w:p>
    <w:p>
      <w:pPr>
        <w:pStyle w:val="57"/>
        <w:ind w:firstLine="420"/>
        <w:rPr>
          <w:rFonts w:ascii="Calibri" w:hAnsi="Calibri" w:cs="Calibri"/>
        </w:rPr>
      </w:pPr>
      <w:r>
        <w:rPr>
          <w:rFonts w:hAnsi="宋体"/>
        </w:rPr>
        <w:t>以病原细菌的总基因组DNA为模板，上游引物27</w:t>
      </w:r>
      <w:r>
        <w:rPr>
          <w:rFonts w:hint="eastAsia" w:hAnsi="宋体"/>
        </w:rPr>
        <w:t>F</w:t>
      </w:r>
      <w:r>
        <w:rPr>
          <w:rFonts w:hAnsi="宋体"/>
        </w:rPr>
        <w:t>（5’-AGAGTTTGATCCTGGCTCAG-3’）</w:t>
      </w:r>
      <w:r>
        <w:rPr>
          <w:rFonts w:hint="eastAsia" w:hAnsi="宋体"/>
        </w:rPr>
        <w:t>，</w:t>
      </w:r>
      <w:r>
        <w:rPr>
          <w:rFonts w:hAnsi="宋体"/>
        </w:rPr>
        <w:t>下游引物1942</w:t>
      </w:r>
      <w:r>
        <w:rPr>
          <w:rFonts w:hint="eastAsia" w:hAnsi="宋体"/>
        </w:rPr>
        <w:t>R</w:t>
      </w:r>
      <w:r>
        <w:rPr>
          <w:rFonts w:hAnsi="宋体"/>
        </w:rPr>
        <w:t>（5’-GGTTACCTTGTTACGACTT-3’）进行扩增。</w:t>
      </w:r>
    </w:p>
    <w:p>
      <w:pPr>
        <w:pStyle w:val="66"/>
        <w:spacing w:before="120" w:after="120"/>
      </w:pPr>
      <w:r>
        <w:rPr>
          <w:rFonts w:hint="eastAsia"/>
        </w:rPr>
        <w:t>结果判定</w:t>
      </w:r>
    </w:p>
    <w:p>
      <w:pPr>
        <w:pStyle w:val="57"/>
        <w:ind w:firstLine="420"/>
      </w:pPr>
      <w:r>
        <w:rPr>
          <w:rFonts w:hint="eastAsia"/>
        </w:rPr>
        <w:t>将PCR扩增产物进行测序，测序结果在Gen Bank中进行序列比对。</w:t>
      </w:r>
    </w:p>
    <w:p>
      <w:pPr>
        <w:pStyle w:val="105"/>
        <w:spacing w:before="240" w:after="240"/>
      </w:pPr>
      <w:r>
        <w:rPr>
          <w:rFonts w:hint="eastAsia"/>
        </w:rPr>
        <w:t>鉴定条件和实验设计</w:t>
      </w:r>
    </w:p>
    <w:p>
      <w:pPr>
        <w:pStyle w:val="106"/>
        <w:spacing w:before="120" w:after="120"/>
        <w:rPr>
          <w:rFonts w:ascii="Times New Roman"/>
        </w:rPr>
      </w:pPr>
      <w:r>
        <w:t>鉴定室</w:t>
      </w:r>
    </w:p>
    <w:p>
      <w:pPr>
        <w:pStyle w:val="57"/>
        <w:ind w:firstLine="420"/>
        <w:rPr>
          <w:rFonts w:ascii="Times New Roman"/>
        </w:rPr>
      </w:pPr>
      <w:r>
        <w:t>苗期抗病性鉴定的鉴定室能够人工调节室内温度、湿度和光照，使之具备良好的发病环境。</w:t>
      </w:r>
    </w:p>
    <w:p>
      <w:pPr>
        <w:pStyle w:val="106"/>
        <w:spacing w:before="120" w:after="120"/>
      </w:pPr>
      <w:r>
        <w:rPr>
          <w:rFonts w:hAnsi="黑体"/>
        </w:rPr>
        <w:t>鉴定设计</w:t>
      </w:r>
    </w:p>
    <w:p>
      <w:pPr>
        <w:pStyle w:val="57"/>
        <w:ind w:firstLine="420"/>
        <w:rPr>
          <w:rFonts w:ascii="Times New Roman"/>
          <w:b/>
        </w:rPr>
      </w:pPr>
      <w:r>
        <w:t>鉴定材料随机区组排列，每</w:t>
      </w:r>
      <w:r>
        <w:rPr>
          <w:rFonts w:hint="eastAsia"/>
        </w:rPr>
        <w:t>份鉴定材料重复3次，每次重复10株苗。</w:t>
      </w:r>
    </w:p>
    <w:p>
      <w:pPr>
        <w:pStyle w:val="106"/>
        <w:spacing w:before="120" w:after="120"/>
        <w:rPr>
          <w:rFonts w:ascii="Times New Roman"/>
        </w:rPr>
      </w:pPr>
      <w:r>
        <w:t>鉴定材料育苗</w:t>
      </w:r>
    </w:p>
    <w:p>
      <w:pPr>
        <w:pStyle w:val="166"/>
      </w:pPr>
      <w:r>
        <w:t>将鉴定材料的种子</w:t>
      </w:r>
      <w:r>
        <w:rPr>
          <w:rFonts w:hint="eastAsia"/>
        </w:rPr>
        <w:t>放</w:t>
      </w:r>
      <w:r>
        <w:t>入50</w:t>
      </w:r>
      <w:r>
        <w:rPr>
          <w:rFonts w:hint="eastAsia"/>
          <w:vertAlign w:val="subscript"/>
        </w:rPr>
        <w:t xml:space="preserve"> </w:t>
      </w:r>
      <w:r>
        <w:rPr>
          <w:rFonts w:hint="eastAsia" w:cs="宋体"/>
        </w:rPr>
        <w:t>℃</w:t>
      </w:r>
      <w:r>
        <w:rPr>
          <w:rFonts w:hint="eastAsia"/>
        </w:rPr>
        <w:t>～</w:t>
      </w:r>
      <w:r>
        <w:t>5</w:t>
      </w:r>
      <w:r>
        <w:rPr>
          <w:rFonts w:hint="eastAsia"/>
        </w:rPr>
        <w:t>5</w:t>
      </w:r>
      <w:r>
        <w:rPr>
          <w:rFonts w:hint="eastAsia"/>
          <w:vertAlign w:val="subscript"/>
        </w:rPr>
        <w:t xml:space="preserve"> </w:t>
      </w:r>
      <w:r>
        <w:rPr>
          <w:rFonts w:hint="eastAsia" w:cs="宋体"/>
        </w:rPr>
        <w:t>℃</w:t>
      </w:r>
      <w:r>
        <w:t>的温水</w:t>
      </w:r>
      <w:r>
        <w:rPr>
          <w:rFonts w:hint="eastAsia"/>
        </w:rPr>
        <w:t>中</w:t>
      </w:r>
      <w:r>
        <w:t>浸泡20</w:t>
      </w:r>
      <w:r>
        <w:rPr>
          <w:vertAlign w:val="subscript"/>
        </w:rPr>
        <w:t xml:space="preserve"> </w:t>
      </w:r>
      <w:r>
        <w:t>min</w:t>
      </w:r>
      <w:r>
        <w:rPr>
          <w:rFonts w:hint="eastAsia"/>
        </w:rPr>
        <w:t>～</w:t>
      </w:r>
      <w:r>
        <w:t>30</w:t>
      </w:r>
      <w:r>
        <w:rPr>
          <w:vertAlign w:val="subscript"/>
        </w:rPr>
        <w:t xml:space="preserve"> </w:t>
      </w:r>
      <w:r>
        <w:t>min，待水温降</w:t>
      </w:r>
      <w:r>
        <w:rPr>
          <w:rFonts w:hint="eastAsia"/>
        </w:rPr>
        <w:t>至</w:t>
      </w:r>
      <w:r>
        <w:t>室温后，继续浸种6</w:t>
      </w:r>
      <w:r>
        <w:rPr>
          <w:rFonts w:hint="eastAsia"/>
          <w:vertAlign w:val="subscript"/>
        </w:rPr>
        <w:t xml:space="preserve"> </w:t>
      </w:r>
      <w:r>
        <w:t>h</w:t>
      </w:r>
      <w:r>
        <w:rPr>
          <w:rFonts w:hint="eastAsia"/>
        </w:rPr>
        <w:t>。</w:t>
      </w:r>
      <w:r>
        <w:t>浸种后，将种子包裹在湿布中，放</w:t>
      </w:r>
      <w:r>
        <w:rPr>
          <w:rFonts w:hint="eastAsia"/>
        </w:rPr>
        <w:t>入</w:t>
      </w:r>
      <w:r>
        <w:t>36</w:t>
      </w:r>
      <w:r>
        <w:rPr>
          <w:rFonts w:hint="eastAsia"/>
          <w:vertAlign w:val="subscript"/>
        </w:rPr>
        <w:t xml:space="preserve"> </w:t>
      </w:r>
      <w:r>
        <w:rPr>
          <w:rFonts w:hint="eastAsia" w:cs="宋体"/>
        </w:rPr>
        <w:t>℃</w:t>
      </w:r>
      <w:r>
        <w:rPr>
          <w:rFonts w:hint="eastAsia"/>
        </w:rPr>
        <w:t>恒温</w:t>
      </w:r>
      <w:r>
        <w:t>培养箱中催芽。</w:t>
      </w:r>
    </w:p>
    <w:p>
      <w:pPr>
        <w:pStyle w:val="166"/>
      </w:pPr>
      <w:r>
        <w:t>待种子露白后播于72孔穴盘中</w:t>
      </w:r>
      <w:r>
        <w:rPr>
          <w:rFonts w:hint="eastAsia"/>
        </w:rPr>
        <w:t>。育苗</w:t>
      </w:r>
      <w:r>
        <w:t>基质为椰糠</w:t>
      </w:r>
      <w:r>
        <w:rPr>
          <w:rFonts w:hint="eastAsia"/>
        </w:rPr>
        <w:t>、</w:t>
      </w:r>
      <w:r>
        <w:t>泥炭</w:t>
      </w:r>
      <w:r>
        <w:rPr>
          <w:rFonts w:hint="eastAsia"/>
        </w:rPr>
        <w:t>和</w:t>
      </w:r>
      <w:r>
        <w:t>珍珠岩（2</w:t>
      </w:r>
      <w:r>
        <w:rPr>
          <w:rFonts w:hint="eastAsia"/>
        </w:rPr>
        <w:t>:</w:t>
      </w:r>
      <w:r>
        <w:t>1</w:t>
      </w:r>
      <w:r>
        <w:rPr>
          <w:rFonts w:hint="eastAsia"/>
        </w:rPr>
        <w:t>:</w:t>
      </w:r>
      <w:r>
        <w:t>1）</w:t>
      </w:r>
      <w:r>
        <w:rPr>
          <w:rFonts w:hint="eastAsia"/>
        </w:rPr>
        <w:t>，经高温蒸汽灭菌后方可使用</w:t>
      </w:r>
      <w:r>
        <w:t>。</w:t>
      </w:r>
    </w:p>
    <w:p>
      <w:pPr>
        <w:pStyle w:val="166"/>
      </w:pPr>
      <w:r>
        <w:rPr>
          <w:rFonts w:hint="eastAsia"/>
        </w:rPr>
        <w:t>在温室内育苗，室内温度18</w:t>
      </w:r>
      <w:r>
        <w:rPr>
          <w:rFonts w:hint="eastAsia"/>
          <w:vertAlign w:val="superscript"/>
        </w:rPr>
        <w:t xml:space="preserve"> </w:t>
      </w:r>
      <w:r>
        <w:rPr>
          <w:rFonts w:hint="eastAsia"/>
        </w:rPr>
        <w:t>℃～25</w:t>
      </w:r>
      <w:r>
        <w:rPr>
          <w:rFonts w:hint="eastAsia"/>
          <w:vertAlign w:val="superscript"/>
        </w:rPr>
        <w:t xml:space="preserve"> </w:t>
      </w:r>
      <w:r>
        <w:rPr>
          <w:rFonts w:hint="eastAsia"/>
        </w:rPr>
        <w:t>℃，幼苗应生长健壮、一致。育苗期间不应使用杀菌剂。</w:t>
      </w:r>
    </w:p>
    <w:p>
      <w:pPr>
        <w:pStyle w:val="105"/>
        <w:spacing w:before="240" w:after="240"/>
        <w:rPr>
          <w:rFonts w:ascii="Times New Roman"/>
        </w:rPr>
      </w:pPr>
      <w:r>
        <w:t>接种</w:t>
      </w:r>
    </w:p>
    <w:p>
      <w:pPr>
        <w:pStyle w:val="106"/>
        <w:spacing w:before="120" w:after="120"/>
        <w:rPr>
          <w:rFonts w:eastAsia="宋体"/>
          <w:szCs w:val="21"/>
        </w:rPr>
      </w:pPr>
      <w:r>
        <w:rPr>
          <w:rFonts w:ascii="宋体" w:hAnsi="宋体"/>
        </w:rPr>
        <w:t>接种时期</w:t>
      </w:r>
    </w:p>
    <w:p>
      <w:pPr>
        <w:pStyle w:val="57"/>
        <w:ind w:firstLine="420"/>
        <w:rPr>
          <w:rFonts w:hAnsi="宋体"/>
          <w:b/>
        </w:rPr>
      </w:pPr>
      <w:r>
        <w:rPr>
          <w:rFonts w:hAnsi="宋体"/>
        </w:rPr>
        <w:t>幼苗在3</w:t>
      </w:r>
      <w:r>
        <w:rPr>
          <w:rFonts w:hint="eastAsia" w:hAnsi="宋体"/>
        </w:rPr>
        <w:t>～</w:t>
      </w:r>
      <w:r>
        <w:rPr>
          <w:rFonts w:hAnsi="宋体"/>
        </w:rPr>
        <w:t>5片真叶期进行接种。</w:t>
      </w:r>
    </w:p>
    <w:p>
      <w:pPr>
        <w:pStyle w:val="106"/>
        <w:spacing w:before="120" w:after="120"/>
        <w:rPr>
          <w:szCs w:val="21"/>
        </w:rPr>
      </w:pPr>
      <w:r>
        <w:rPr>
          <w:rFonts w:ascii="宋体" w:hAnsi="宋体"/>
        </w:rPr>
        <w:t>接种方法</w:t>
      </w:r>
    </w:p>
    <w:p>
      <w:pPr>
        <w:pStyle w:val="57"/>
        <w:ind w:firstLine="420"/>
        <w:rPr>
          <w:rFonts w:hAnsi="宋体"/>
          <w:b/>
        </w:rPr>
      </w:pPr>
      <w:r>
        <w:rPr>
          <w:rFonts w:hAnsi="宋体"/>
        </w:rPr>
        <w:t>采用伤茎喷雾法接种</w:t>
      </w:r>
      <w:r>
        <w:rPr>
          <w:rFonts w:hint="eastAsia" w:hAnsi="宋体"/>
        </w:rPr>
        <w:t>。</w:t>
      </w:r>
      <w:r>
        <w:rPr>
          <w:rFonts w:hAnsi="宋体"/>
        </w:rPr>
        <w:t>用小刀在番茄的茎部刮出</w:t>
      </w:r>
      <w:r>
        <w:rPr>
          <w:rFonts w:hint="eastAsia" w:hAnsi="宋体"/>
        </w:rPr>
        <w:t>1</w:t>
      </w:r>
      <w:r>
        <w:rPr>
          <w:rFonts w:hAnsi="宋体"/>
        </w:rPr>
        <w:t>条1.5</w:t>
      </w:r>
      <w:r>
        <w:rPr>
          <w:vertAlign w:val="subscript"/>
        </w:rPr>
        <w:t xml:space="preserve"> </w:t>
      </w:r>
      <w:r>
        <w:rPr>
          <w:rFonts w:hAnsi="宋体"/>
        </w:rPr>
        <w:t>cm</w:t>
      </w:r>
      <w:r>
        <w:rPr>
          <w:rFonts w:hint="eastAsia" w:hAnsi="宋体"/>
        </w:rPr>
        <w:t>长</w:t>
      </w:r>
      <w:r>
        <w:rPr>
          <w:rFonts w:hAnsi="宋体"/>
        </w:rPr>
        <w:t>的伤口，用</w:t>
      </w:r>
      <w:r>
        <w:rPr>
          <w:rFonts w:hint="eastAsia" w:hAnsi="宋体"/>
        </w:rPr>
        <w:t>小型喷雾器将配置的接种悬浮液</w:t>
      </w:r>
      <w:r>
        <w:rPr>
          <w:rFonts w:hAnsi="宋体"/>
        </w:rPr>
        <w:t>（配置方法见</w:t>
      </w:r>
      <w:r>
        <w:rPr>
          <w:rFonts w:hint="eastAsia" w:hAnsi="宋体"/>
        </w:rPr>
        <w:t>6</w:t>
      </w:r>
      <w:r>
        <w:rPr>
          <w:rFonts w:hAnsi="宋体"/>
        </w:rPr>
        <w:t>.</w:t>
      </w:r>
      <w:r>
        <w:rPr>
          <w:rFonts w:hint="eastAsia" w:hAnsi="宋体"/>
        </w:rPr>
        <w:t>1</w:t>
      </w:r>
      <w:r>
        <w:rPr>
          <w:rFonts w:hAnsi="宋体"/>
        </w:rPr>
        <w:t>.1）</w:t>
      </w:r>
      <w:r>
        <w:rPr>
          <w:rFonts w:hint="eastAsia" w:hAnsi="宋体"/>
        </w:rPr>
        <w:t>均匀喷雾到</w:t>
      </w:r>
      <w:r>
        <w:rPr>
          <w:rFonts w:hAnsi="宋体"/>
        </w:rPr>
        <w:t>伤口处，每隔2</w:t>
      </w:r>
      <w:r>
        <w:rPr>
          <w:vertAlign w:val="subscript"/>
        </w:rPr>
        <w:t xml:space="preserve"> </w:t>
      </w:r>
      <w:r>
        <w:rPr>
          <w:rFonts w:hAnsi="宋体"/>
        </w:rPr>
        <w:t>h重复操作，共</w:t>
      </w:r>
      <w:r>
        <w:rPr>
          <w:rFonts w:hint="eastAsia" w:hAnsi="宋体"/>
        </w:rPr>
        <w:t>重复3</w:t>
      </w:r>
      <w:r>
        <w:rPr>
          <w:rFonts w:hAnsi="宋体"/>
        </w:rPr>
        <w:t>次。</w:t>
      </w:r>
    </w:p>
    <w:p>
      <w:pPr>
        <w:pStyle w:val="106"/>
        <w:spacing w:before="120" w:after="120"/>
      </w:pPr>
      <w:r>
        <w:t>接种后管理</w:t>
      </w:r>
    </w:p>
    <w:p>
      <w:pPr>
        <w:pStyle w:val="57"/>
        <w:ind w:firstLine="420"/>
        <w:rPr>
          <w:rFonts w:hAnsi="宋体"/>
        </w:rPr>
      </w:pPr>
      <w:r>
        <w:rPr>
          <w:rFonts w:hint="eastAsia"/>
        </w:rPr>
        <w:t>接种后的室内</w:t>
      </w:r>
      <w:r>
        <w:t>温度</w:t>
      </w:r>
      <w:r>
        <w:rPr>
          <w:rFonts w:hint="eastAsia"/>
        </w:rPr>
        <w:t>为</w:t>
      </w:r>
      <w:r>
        <w:t>23.6</w:t>
      </w:r>
      <w:r>
        <w:rPr>
          <w:rFonts w:hint="eastAsia"/>
          <w:vertAlign w:val="subscript"/>
        </w:rPr>
        <w:t xml:space="preserve"> </w:t>
      </w:r>
      <w:r>
        <w:rPr>
          <w:rFonts w:hint="eastAsia" w:hAnsi="宋体" w:cs="宋体"/>
        </w:rPr>
        <w:t>℃</w:t>
      </w:r>
      <w:r>
        <w:rPr>
          <w:rFonts w:hint="eastAsia"/>
        </w:rPr>
        <w:t>～</w:t>
      </w:r>
      <w:r>
        <w:t>28</w:t>
      </w:r>
      <w:r>
        <w:rPr>
          <w:rFonts w:hint="eastAsia"/>
          <w:vertAlign w:val="superscript"/>
        </w:rPr>
        <w:t xml:space="preserve"> </w:t>
      </w:r>
      <w:r>
        <w:rPr>
          <w:rFonts w:hint="eastAsia" w:hAnsi="宋体" w:cs="宋体"/>
        </w:rPr>
        <w:t>℃</w:t>
      </w:r>
      <w:r>
        <w:t>，湿度</w:t>
      </w:r>
      <w:r>
        <w:rPr>
          <w:rFonts w:hint="eastAsia"/>
        </w:rPr>
        <w:t>为</w:t>
      </w:r>
      <w:r>
        <w:t>9</w:t>
      </w:r>
      <w:r>
        <w:rPr>
          <w:rFonts w:hint="eastAsia"/>
        </w:rPr>
        <w:t>0</w:t>
      </w:r>
      <w:r>
        <w:t>％</w:t>
      </w:r>
      <w:r>
        <w:rPr>
          <w:rFonts w:hint="eastAsia"/>
        </w:rPr>
        <w:t>～100</w:t>
      </w:r>
      <w:r>
        <w:t>％，保湿时间在96</w:t>
      </w:r>
      <w:r>
        <w:rPr>
          <w:vertAlign w:val="subscript"/>
        </w:rPr>
        <w:t xml:space="preserve"> </w:t>
      </w:r>
      <w:r>
        <w:t>h以上，正常栽培管理</w:t>
      </w:r>
      <w:r>
        <w:rPr>
          <w:rFonts w:hint="eastAsia" w:hAnsi="宋体"/>
        </w:rPr>
        <w:t>。</w:t>
      </w:r>
    </w:p>
    <w:p>
      <w:pPr>
        <w:pStyle w:val="105"/>
        <w:spacing w:before="240" w:after="240"/>
      </w:pPr>
      <w:r>
        <w:t>病情调查</w:t>
      </w:r>
    </w:p>
    <w:p>
      <w:pPr>
        <w:pStyle w:val="106"/>
        <w:spacing w:before="120" w:after="120"/>
      </w:pPr>
      <w:r>
        <w:t>病情级别划分</w:t>
      </w:r>
    </w:p>
    <w:p>
      <w:pPr>
        <w:pStyle w:val="57"/>
        <w:ind w:firstLine="420"/>
      </w:pPr>
      <w:r>
        <w:t>幼苗病情级别及相对应的症状</w:t>
      </w:r>
      <w:r>
        <w:rPr>
          <w:rFonts w:hint="eastAsia"/>
        </w:rPr>
        <w:t>描述</w:t>
      </w:r>
      <w:r>
        <w:t>见表</w:t>
      </w:r>
      <w:r>
        <w:rPr>
          <w:rFonts w:hint="eastAsia"/>
        </w:rPr>
        <w:t>1。</w:t>
      </w:r>
    </w:p>
    <w:p>
      <w:pPr>
        <w:pStyle w:val="113"/>
        <w:spacing w:before="120" w:after="120"/>
      </w:pPr>
      <w:r>
        <w:rPr>
          <w:rFonts w:hint="eastAsia"/>
        </w:rPr>
        <w:t>番茄细菌性斑点病病情级别划分</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978"/>
        <w:gridCol w:w="53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22" w:type="pct"/>
            <w:tcBorders>
              <w:top w:val="single" w:color="auto" w:sz="8" w:space="0"/>
              <w:bottom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病情级别</w:t>
            </w:r>
          </w:p>
        </w:tc>
        <w:tc>
          <w:tcPr>
            <w:tcW w:w="2878" w:type="pct"/>
            <w:tcBorders>
              <w:top w:val="single" w:color="auto" w:sz="8" w:space="0"/>
              <w:bottom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症状描述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tcBorders>
              <w:top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0</w:t>
            </w:r>
          </w:p>
        </w:tc>
        <w:tc>
          <w:tcPr>
            <w:tcW w:w="2878" w:type="pct"/>
            <w:tcBorders>
              <w:top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无症状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1</w:t>
            </w:r>
          </w:p>
        </w:tc>
        <w:tc>
          <w:tcPr>
            <w:tcW w:w="2878"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病斑面积占叶片面积≤5％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2</w:t>
            </w:r>
          </w:p>
        </w:tc>
        <w:tc>
          <w:tcPr>
            <w:tcW w:w="2878"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5％＜病斑面积占叶片面积≤10％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3</w:t>
            </w:r>
          </w:p>
        </w:tc>
        <w:tc>
          <w:tcPr>
            <w:tcW w:w="2878"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10％＜病斑面积占叶片面积≤25％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4</w:t>
            </w:r>
          </w:p>
        </w:tc>
        <w:tc>
          <w:tcPr>
            <w:tcW w:w="2878" w:type="pct"/>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25％＜病斑面积占叶片面积≤50％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color w:val="000000"/>
                <w:sz w:val="18"/>
                <w:szCs w:val="18"/>
              </w:rPr>
            </w:pPr>
            <w:r>
              <w:rPr>
                <w:rFonts w:cs="Times New Roman"/>
                <w:color w:val="000000"/>
                <w:sz w:val="18"/>
                <w:szCs w:val="18"/>
              </w:rPr>
              <w:t>5</w:t>
            </w:r>
          </w:p>
        </w:tc>
        <w:tc>
          <w:tcPr>
            <w:tcW w:w="2878" w:type="pct"/>
            <w:shd w:val="clear" w:color="auto" w:fill="auto"/>
            <w:vAlign w:val="center"/>
          </w:tcPr>
          <w:p>
            <w:pPr>
              <w:pStyle w:val="235"/>
              <w:spacing w:after="0" w:line="360" w:lineRule="auto"/>
              <w:ind w:firstLine="0"/>
              <w:jc w:val="center"/>
              <w:rPr>
                <w:rFonts w:cs="Times New Roman"/>
                <w:color w:val="000000"/>
                <w:sz w:val="18"/>
                <w:szCs w:val="18"/>
              </w:rPr>
            </w:pPr>
            <w:r>
              <w:rPr>
                <w:rFonts w:cs="Times New Roman"/>
                <w:color w:val="000000"/>
                <w:sz w:val="18"/>
                <w:szCs w:val="18"/>
              </w:rPr>
              <w:t>50％＜病斑面积占叶片面积＜100％</w:t>
            </w:r>
          </w:p>
        </w:tc>
      </w:tr>
    </w:tbl>
    <w:p>
      <w:pPr>
        <w:pStyle w:val="106"/>
        <w:spacing w:before="120" w:after="120"/>
        <w:rPr>
          <w:rFonts w:ascii="Times New Roman"/>
        </w:rPr>
      </w:pPr>
      <w:r>
        <w:t>调查时间</w:t>
      </w:r>
    </w:p>
    <w:p>
      <w:pPr>
        <w:pStyle w:val="57"/>
        <w:ind w:firstLine="420"/>
      </w:pPr>
      <w:r>
        <w:rPr>
          <w:rFonts w:hAnsi="宋体"/>
        </w:rPr>
        <w:t>接种后</w:t>
      </w:r>
      <w:r>
        <w:t>12</w:t>
      </w:r>
      <w:r>
        <w:rPr>
          <w:vertAlign w:val="subscript"/>
        </w:rPr>
        <w:t xml:space="preserve"> </w:t>
      </w:r>
      <w:r>
        <w:rPr>
          <w:rFonts w:hint="eastAsia"/>
        </w:rPr>
        <w:t>d～</w:t>
      </w:r>
      <w:r>
        <w:t>16</w:t>
      </w:r>
      <w:r>
        <w:rPr>
          <w:vertAlign w:val="subscript"/>
        </w:rPr>
        <w:t xml:space="preserve"> </w:t>
      </w:r>
      <w:r>
        <w:t>d</w:t>
      </w:r>
      <w:r>
        <w:rPr>
          <w:rFonts w:hAnsi="宋体"/>
        </w:rPr>
        <w:t>进行。</w:t>
      </w:r>
    </w:p>
    <w:p>
      <w:pPr>
        <w:pStyle w:val="106"/>
        <w:spacing w:before="120" w:after="120"/>
      </w:pPr>
      <w:r>
        <w:rPr>
          <w:rFonts w:ascii="宋体" w:hAnsi="宋体"/>
        </w:rPr>
        <w:t>病情记载</w:t>
      </w:r>
    </w:p>
    <w:p>
      <w:pPr>
        <w:pStyle w:val="57"/>
        <w:ind w:firstLine="420"/>
      </w:pPr>
      <w:r>
        <w:t>调査记载每一鉴定植株的病情级别，并计算病</w:t>
      </w:r>
      <w:r>
        <w:rPr>
          <w:rFonts w:hint="eastAsia"/>
        </w:rPr>
        <w:t>情</w:t>
      </w:r>
      <w:r>
        <w:t>指数</w:t>
      </w:r>
      <w:r>
        <w:rPr>
          <w:rFonts w:hint="eastAsia"/>
        </w:rPr>
        <w:t>，按公式（1）计算：</w:t>
      </w:r>
    </w:p>
    <w:p>
      <w:pPr>
        <w:pStyle w:val="114"/>
      </w:pPr>
      <w:r>
        <w:tab/>
      </w:r>
      <m:oMath>
        <m:r>
          <m:rPr/>
          <w:rPr>
            <w:rFonts w:ascii="Cambria Math" w:hAnsi="Cambria Math"/>
          </w:rPr>
          <m:t>DI</m:t>
        </m:r>
        <m:r>
          <m:rPr>
            <m:sty m:val="p"/>
          </m:rPr>
          <w:rPr>
            <w:rFonts w:ascii="Cambria Math" w:hAnsi="Cambria Math"/>
          </w:rPr>
          <m:t>=</m:t>
        </m:r>
        <m:f>
          <m:fPr>
            <m:ctrlPr>
              <w:rPr>
                <w:rFonts w:ascii="Cambria Math" w:hAnsi="Cambria Math"/>
              </w:rPr>
            </m:ctrlPr>
          </m:fPr>
          <m:num>
            <m:nary>
              <m:naryPr>
                <m:chr m:val="∑"/>
                <m:limLoc m:val="undOvr"/>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m:sty m:val="p"/>
                  </m:rPr>
                  <w:rPr>
                    <w:rFonts w:ascii="Cambria Math" w:hAnsi="Cambria Math"/>
                  </w:rPr>
                  <m:t>（</m:t>
                </m:r>
                <m:r>
                  <m:rPr/>
                  <w:rPr>
                    <w:rFonts w:ascii="Cambria Math" w:hAnsi="Cambria Math"/>
                  </w:rPr>
                  <m:t>s×n</m:t>
                </m:r>
                <m:r>
                  <m:rPr>
                    <m:sty m:val="p"/>
                  </m:rPr>
                  <w:rPr>
                    <w:rFonts w:ascii="Cambria Math" w:hAnsi="Cambria Math"/>
                  </w:rPr>
                  <m:t>）</m:t>
                </m:r>
                <m:ctrlPr>
                  <w:rPr>
                    <w:rFonts w:ascii="Cambria Math" w:hAnsi="Cambria Math"/>
                  </w:rPr>
                </m:ctrlPr>
              </m:e>
            </m:nary>
            <m:ctrlPr>
              <w:rPr>
                <w:rFonts w:ascii="Cambria Math" w:hAnsi="Cambria Math"/>
              </w:rPr>
            </m:ctrlPr>
          </m:num>
          <m:den>
            <m:r>
              <m:rPr>
                <m:sty m:val="p"/>
              </m:rPr>
              <w:rPr>
                <w:rFonts w:ascii="Cambria Math" w:hAnsi="Cambria Math"/>
              </w:rPr>
              <m:t>5×</m:t>
            </m:r>
            <m:r>
              <m:rPr/>
              <w:rPr>
                <w:rFonts w:ascii="Cambria Math" w:hAnsi="Cambria Math"/>
              </w:rPr>
              <m:t>N</m:t>
            </m:r>
            <m:ctrlPr>
              <w:rPr>
                <w:rFonts w:ascii="Cambria Math" w:hAnsi="Cambria Math"/>
              </w:rPr>
            </m:ctrlPr>
          </m:den>
        </m:f>
      </m:oMath>
      <w:r>
        <w:rPr>
          <w:rFonts w:ascii="微软雅黑" w:hAnsi="微软雅黑" w:eastAsia="微软雅黑"/>
        </w:rPr>
        <w:tab/>
      </w:r>
      <w:r>
        <w:t>(</w:t>
      </w:r>
      <w:r>
        <w:fldChar w:fldCharType="begin"/>
      </w:r>
      <w:r>
        <w:instrText xml:space="preserve"> AUTONUM </w:instrText>
      </w:r>
      <w:r>
        <w:fldChar w:fldCharType="end"/>
      </w:r>
      <w:r>
        <w:t>)</w:t>
      </w:r>
    </w:p>
    <w:p>
      <w:pPr>
        <w:pStyle w:val="56"/>
        <w:ind w:firstLine="420"/>
      </w:pPr>
      <w:r>
        <w:rPr>
          <w:rFonts w:hint="eastAsia"/>
        </w:rPr>
        <w:t>式中：</w:t>
      </w:r>
    </w:p>
    <w:p>
      <w:pPr>
        <w:pStyle w:val="57"/>
        <w:ind w:firstLine="420"/>
      </w:pPr>
      <w:r>
        <w:rPr>
          <w:rFonts w:hint="eastAsia"/>
          <w:i/>
        </w:rPr>
        <w:t>DI</w:t>
      </w:r>
      <w:r>
        <w:rPr>
          <w:rFonts w:hint="eastAsia" w:hAnsi="宋体"/>
        </w:rPr>
        <w:t>——</w:t>
      </w:r>
      <w:r>
        <w:rPr>
          <w:rFonts w:hint="eastAsia"/>
        </w:rPr>
        <w:t>病情指数；</w:t>
      </w:r>
    </w:p>
    <w:p>
      <w:pPr>
        <w:pStyle w:val="57"/>
        <w:ind w:firstLine="420"/>
      </w:pPr>
      <w:r>
        <w:rPr>
          <w:rFonts w:hint="eastAsia"/>
          <w:i/>
        </w:rPr>
        <w:t>s</w:t>
      </w:r>
      <w:r>
        <w:rPr>
          <w:rFonts w:hint="eastAsia"/>
        </w:rPr>
        <w:t>——各病情级别的代表数值；</w:t>
      </w:r>
    </w:p>
    <w:p>
      <w:pPr>
        <w:pStyle w:val="57"/>
        <w:ind w:firstLine="420"/>
      </w:pPr>
      <w:r>
        <w:rPr>
          <w:rFonts w:hint="eastAsia"/>
          <w:i/>
        </w:rPr>
        <w:t>n</w:t>
      </w:r>
      <w:r>
        <w:rPr>
          <w:rFonts w:hint="eastAsia"/>
        </w:rPr>
        <w:t>——各病情级别的植株数；</w:t>
      </w:r>
    </w:p>
    <w:p>
      <w:pPr>
        <w:pStyle w:val="57"/>
        <w:ind w:firstLine="420"/>
      </w:pPr>
      <w:r>
        <w:rPr>
          <w:rFonts w:hint="eastAsia"/>
          <w:i/>
        </w:rPr>
        <w:t>N</w:t>
      </w:r>
      <w:r>
        <w:rPr>
          <w:rFonts w:hint="eastAsia"/>
        </w:rPr>
        <w:t>——调查总株数。</w:t>
      </w:r>
    </w:p>
    <w:p>
      <w:pPr>
        <w:pStyle w:val="105"/>
        <w:spacing w:before="240" w:after="240"/>
      </w:pPr>
      <w:r>
        <w:rPr>
          <w:rFonts w:hint="eastAsia"/>
        </w:rPr>
        <w:t>抗病性评价</w:t>
      </w:r>
    </w:p>
    <w:p>
      <w:pPr>
        <w:pStyle w:val="57"/>
        <w:ind w:firstLine="420"/>
      </w:pPr>
      <w:r>
        <w:t>依据鉴定材料</w:t>
      </w:r>
      <w:r>
        <w:rPr>
          <w:sz w:val="20"/>
        </w:rPr>
        <w:t>3</w:t>
      </w:r>
      <w:r>
        <w:t>次重复的病</w:t>
      </w:r>
      <w:r>
        <w:rPr>
          <w:rFonts w:hint="eastAsia"/>
        </w:rPr>
        <w:t>情</w:t>
      </w:r>
      <w:r>
        <w:t>指数</w:t>
      </w:r>
      <w:r>
        <w:rPr>
          <w:rFonts w:hint="eastAsia"/>
        </w:rPr>
        <w:t>（</w:t>
      </w:r>
      <w:r>
        <w:rPr>
          <w:rFonts w:hint="eastAsia"/>
          <w:i/>
        </w:rPr>
        <w:t>DI</w:t>
      </w:r>
      <w:r>
        <w:rPr>
          <w:rFonts w:hint="eastAsia"/>
        </w:rPr>
        <w:t>）</w:t>
      </w:r>
      <w:r>
        <w:t>平均值确定其抗</w:t>
      </w:r>
      <w:r>
        <w:rPr>
          <w:rFonts w:hint="eastAsia"/>
        </w:rPr>
        <w:t>病</w:t>
      </w:r>
      <w:r>
        <w:t>性水平</w:t>
      </w:r>
      <w:r>
        <w:rPr>
          <w:rFonts w:hint="eastAsia"/>
        </w:rPr>
        <w:t>，划分标准见表2。</w:t>
      </w:r>
    </w:p>
    <w:p>
      <w:pPr>
        <w:pStyle w:val="113"/>
        <w:spacing w:before="120" w:after="120"/>
      </w:pPr>
      <w:r>
        <w:rPr>
          <w:rFonts w:hint="eastAsia"/>
        </w:rPr>
        <w:t>番茄对细菌性斑点病抗性的评价标准</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978"/>
        <w:gridCol w:w="539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22" w:type="pct"/>
            <w:tcBorders>
              <w:bottom w:val="single" w:color="auto" w:sz="8" w:space="0"/>
            </w:tcBorders>
            <w:shd w:val="clear" w:color="auto" w:fill="auto"/>
            <w:vAlign w:val="center"/>
          </w:tcPr>
          <w:p>
            <w:pPr>
              <w:pStyle w:val="235"/>
              <w:spacing w:after="0" w:line="360" w:lineRule="auto"/>
              <w:ind w:firstLine="0"/>
              <w:jc w:val="center"/>
              <w:rPr>
                <w:rFonts w:cs="Times New Roman"/>
                <w:sz w:val="18"/>
                <w:szCs w:val="18"/>
              </w:rPr>
            </w:pPr>
            <w:bookmarkStart w:id="39" w:name="_GoBack"/>
            <w:r>
              <w:rPr>
                <w:rFonts w:cs="Times New Roman"/>
                <w:color w:val="000000"/>
                <w:sz w:val="18"/>
                <w:szCs w:val="18"/>
              </w:rPr>
              <w:t>病情指数（</w:t>
            </w:r>
            <w:r>
              <w:rPr>
                <w:rFonts w:cs="Times New Roman"/>
                <w:i/>
                <w:color w:val="000000"/>
                <w:sz w:val="18"/>
                <w:szCs w:val="18"/>
              </w:rPr>
              <w:t>DI</w:t>
            </w:r>
            <w:r>
              <w:rPr>
                <w:rFonts w:cs="Times New Roman"/>
                <w:color w:val="000000"/>
                <w:sz w:val="18"/>
                <w:szCs w:val="18"/>
              </w:rPr>
              <w:t>）</w:t>
            </w:r>
          </w:p>
        </w:tc>
        <w:tc>
          <w:tcPr>
            <w:tcW w:w="2878" w:type="pct"/>
            <w:tcBorders>
              <w:bottom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color w:val="000000"/>
                <w:sz w:val="18"/>
                <w:szCs w:val="18"/>
              </w:rPr>
              <w:t>抗性评价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tcBorders>
              <w:top w:val="single" w:color="auto" w:sz="8" w:space="0"/>
            </w:tcBorders>
            <w:shd w:val="clear" w:color="auto" w:fill="auto"/>
            <w:vAlign w:val="center"/>
          </w:tcPr>
          <w:p>
            <w:pPr>
              <w:pStyle w:val="235"/>
              <w:spacing w:after="0" w:line="360" w:lineRule="auto"/>
              <w:ind w:firstLine="0"/>
              <w:jc w:val="center"/>
              <w:rPr>
                <w:rFonts w:cs="Times New Roman"/>
                <w:sz w:val="18"/>
                <w:szCs w:val="18"/>
              </w:rPr>
            </w:pPr>
            <w:r>
              <w:rPr>
                <w:rFonts w:cs="Times New Roman"/>
                <w:i/>
                <w:sz w:val="18"/>
                <w:szCs w:val="18"/>
              </w:rPr>
              <w:t>DI</w:t>
            </w:r>
            <w:r>
              <w:rPr>
                <w:rFonts w:hint="eastAsia" w:cs="Times New Roman"/>
                <w:sz w:val="18"/>
                <w:szCs w:val="18"/>
              </w:rPr>
              <w:t>=</w:t>
            </w:r>
            <w:r>
              <w:rPr>
                <w:rFonts w:cs="Times New Roman"/>
                <w:sz w:val="18"/>
                <w:szCs w:val="18"/>
              </w:rPr>
              <w:t>0</w:t>
            </w:r>
          </w:p>
        </w:tc>
        <w:tc>
          <w:tcPr>
            <w:tcW w:w="2878" w:type="pct"/>
            <w:tcBorders>
              <w:top w:val="single" w:color="auto" w:sz="8" w:space="0"/>
            </w:tcBorders>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color w:val="000000"/>
                <w:sz w:val="18"/>
                <w:szCs w:val="18"/>
              </w:rPr>
              <w:t>免疫</w:t>
            </w:r>
            <w:r>
              <w:rPr>
                <w:rFonts w:hint="eastAsia" w:cs="Times New Roman"/>
                <w:color w:val="000000"/>
                <w:sz w:val="18"/>
                <w:szCs w:val="18"/>
              </w:rPr>
              <w:t xml:space="preserve"> Immune（I）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sz w:val="18"/>
                <w:szCs w:val="18"/>
              </w:rPr>
              <w:t>0＜</w:t>
            </w:r>
            <w:r>
              <w:rPr>
                <w:rFonts w:cs="Times New Roman"/>
                <w:i/>
                <w:sz w:val="18"/>
                <w:szCs w:val="18"/>
              </w:rPr>
              <w:t>DI</w:t>
            </w:r>
            <w:r>
              <w:rPr>
                <w:rFonts w:cs="Times New Roman"/>
                <w:sz w:val="18"/>
                <w:szCs w:val="18"/>
              </w:rPr>
              <w:t>≤5</w:t>
            </w:r>
          </w:p>
        </w:tc>
        <w:tc>
          <w:tcPr>
            <w:tcW w:w="2878" w:type="pct"/>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color w:val="000000"/>
                <w:sz w:val="18"/>
                <w:szCs w:val="18"/>
              </w:rPr>
              <w:t xml:space="preserve">高抗 </w:t>
            </w:r>
            <w:r>
              <w:rPr>
                <w:rFonts w:hint="eastAsia" w:cs="Times New Roman"/>
                <w:color w:val="000000"/>
                <w:sz w:val="18"/>
                <w:szCs w:val="18"/>
              </w:rPr>
              <w:t>Highly resistant（HR）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sz w:val="18"/>
                <w:szCs w:val="18"/>
              </w:rPr>
              <w:t>5＜</w:t>
            </w:r>
            <w:r>
              <w:rPr>
                <w:rFonts w:cs="Times New Roman"/>
                <w:i/>
                <w:sz w:val="18"/>
                <w:szCs w:val="18"/>
              </w:rPr>
              <w:t>DI</w:t>
            </w:r>
            <w:r>
              <w:rPr>
                <w:rFonts w:cs="Times New Roman"/>
                <w:sz w:val="18"/>
                <w:szCs w:val="18"/>
              </w:rPr>
              <w:t>≤20</w:t>
            </w:r>
          </w:p>
        </w:tc>
        <w:tc>
          <w:tcPr>
            <w:tcW w:w="2878" w:type="pct"/>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color w:val="000000"/>
                <w:sz w:val="18"/>
                <w:szCs w:val="18"/>
              </w:rPr>
              <w:t xml:space="preserve">抗病 </w:t>
            </w:r>
            <w:r>
              <w:rPr>
                <w:rFonts w:hint="eastAsia" w:cs="Times New Roman"/>
                <w:color w:val="000000"/>
                <w:sz w:val="18"/>
                <w:szCs w:val="18"/>
              </w:rPr>
              <w:t>Resistant（R）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sz w:val="18"/>
                <w:szCs w:val="18"/>
              </w:rPr>
              <w:t>20＜</w:t>
            </w:r>
            <w:r>
              <w:rPr>
                <w:rFonts w:cs="Times New Roman"/>
                <w:i/>
                <w:sz w:val="18"/>
                <w:szCs w:val="18"/>
              </w:rPr>
              <w:t>DI</w:t>
            </w:r>
            <w:r>
              <w:rPr>
                <w:rFonts w:cs="Times New Roman"/>
                <w:sz w:val="18"/>
                <w:szCs w:val="18"/>
              </w:rPr>
              <w:t>≤40</w:t>
            </w:r>
          </w:p>
        </w:tc>
        <w:tc>
          <w:tcPr>
            <w:tcW w:w="2878" w:type="pct"/>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sz w:val="18"/>
                <w:szCs w:val="18"/>
              </w:rPr>
              <w:t xml:space="preserve">耐病 </w:t>
            </w:r>
            <w:r>
              <w:rPr>
                <w:rFonts w:hint="eastAsia" w:cs="Times New Roman"/>
                <w:sz w:val="18"/>
                <w:szCs w:val="18"/>
              </w:rPr>
              <w:t>T</w:t>
            </w:r>
            <w:r>
              <w:rPr>
                <w:rFonts w:cs="Times New Roman"/>
                <w:sz w:val="18"/>
                <w:szCs w:val="18"/>
              </w:rPr>
              <w:t>olerance</w:t>
            </w:r>
            <w:r>
              <w:rPr>
                <w:rFonts w:hint="eastAsia" w:cs="Times New Roman"/>
                <w:sz w:val="18"/>
                <w:szCs w:val="18"/>
              </w:rPr>
              <w:t>（T）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sz w:val="18"/>
                <w:szCs w:val="18"/>
              </w:rPr>
              <w:t>40＜</w:t>
            </w:r>
            <w:r>
              <w:rPr>
                <w:rFonts w:cs="Times New Roman"/>
                <w:i/>
                <w:sz w:val="18"/>
                <w:szCs w:val="18"/>
              </w:rPr>
              <w:t>DI</w:t>
            </w:r>
            <w:r>
              <w:rPr>
                <w:rFonts w:cs="Times New Roman"/>
                <w:sz w:val="18"/>
                <w:szCs w:val="18"/>
              </w:rPr>
              <w:t>≤60</w:t>
            </w:r>
          </w:p>
        </w:tc>
        <w:tc>
          <w:tcPr>
            <w:tcW w:w="2878" w:type="pct"/>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sz w:val="18"/>
                <w:szCs w:val="18"/>
              </w:rPr>
              <w:t xml:space="preserve">感病 </w:t>
            </w:r>
            <w:r>
              <w:rPr>
                <w:rFonts w:hint="eastAsia" w:cs="Times New Roman"/>
                <w:sz w:val="18"/>
                <w:szCs w:val="18"/>
              </w:rPr>
              <w:t>Susceptible（S）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22" w:type="pct"/>
            <w:shd w:val="clear" w:color="auto" w:fill="auto"/>
            <w:vAlign w:val="center"/>
          </w:tcPr>
          <w:p>
            <w:pPr>
              <w:pStyle w:val="235"/>
              <w:spacing w:after="0" w:line="360" w:lineRule="auto"/>
              <w:ind w:firstLine="0"/>
              <w:jc w:val="center"/>
              <w:rPr>
                <w:rFonts w:cs="Times New Roman"/>
                <w:sz w:val="18"/>
                <w:szCs w:val="18"/>
              </w:rPr>
            </w:pPr>
            <w:r>
              <w:rPr>
                <w:rFonts w:cs="Times New Roman"/>
                <w:i/>
                <w:sz w:val="18"/>
                <w:szCs w:val="18"/>
              </w:rPr>
              <w:t>DI</w:t>
            </w:r>
            <w:r>
              <w:rPr>
                <w:rFonts w:cs="Times New Roman"/>
                <w:sz w:val="18"/>
                <w:szCs w:val="18"/>
              </w:rPr>
              <w:t>＞60</w:t>
            </w:r>
          </w:p>
        </w:tc>
        <w:tc>
          <w:tcPr>
            <w:tcW w:w="2878" w:type="pct"/>
            <w:shd w:val="clear" w:color="auto" w:fill="auto"/>
            <w:vAlign w:val="center"/>
          </w:tcPr>
          <w:p>
            <w:pPr>
              <w:pStyle w:val="235"/>
              <w:spacing w:after="0" w:line="360" w:lineRule="auto"/>
              <w:ind w:left="2100" w:leftChars="1000" w:firstLine="0"/>
              <w:jc w:val="left"/>
              <w:rPr>
                <w:rFonts w:cs="Times New Roman"/>
                <w:sz w:val="18"/>
                <w:szCs w:val="18"/>
              </w:rPr>
            </w:pPr>
            <w:r>
              <w:rPr>
                <w:rFonts w:cs="Times New Roman"/>
                <w:color w:val="000000"/>
                <w:sz w:val="18"/>
                <w:szCs w:val="18"/>
              </w:rPr>
              <w:t xml:space="preserve">高感 </w:t>
            </w:r>
            <w:r>
              <w:rPr>
                <w:rFonts w:hint="eastAsia" w:cs="Times New Roman"/>
                <w:color w:val="000000"/>
                <w:sz w:val="18"/>
                <w:szCs w:val="18"/>
              </w:rPr>
              <w:t>Highly</w:t>
            </w:r>
            <w:r>
              <w:rPr>
                <w:rFonts w:cs="Times New Roman"/>
                <w:color w:val="000000"/>
                <w:sz w:val="18"/>
                <w:szCs w:val="18"/>
              </w:rPr>
              <w:t xml:space="preserve"> </w:t>
            </w:r>
            <w:r>
              <w:rPr>
                <w:rFonts w:hint="eastAsia" w:cs="Times New Roman"/>
                <w:sz w:val="18"/>
                <w:szCs w:val="18"/>
              </w:rPr>
              <w:t>Susceptible</w:t>
            </w:r>
            <w:r>
              <w:rPr>
                <w:rFonts w:hint="eastAsia" w:cs="Times New Roman"/>
                <w:color w:val="000000"/>
                <w:sz w:val="18"/>
                <w:szCs w:val="18"/>
              </w:rPr>
              <w:t>（HS）</w:t>
            </w:r>
          </w:p>
        </w:tc>
      </w:tr>
      <w:bookmarkEnd w:id="39"/>
      <w:bookmarkEnd w:id="19"/>
    </w:tbl>
    <w:p>
      <w:pPr>
        <w:pStyle w:val="57"/>
        <w:ind w:firstLine="0" w:firstLineChars="0"/>
        <w:jc w:val="center"/>
      </w:pPr>
      <w:bookmarkStart w:id="38"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38"/>
    </w:p>
    <w:sectPr>
      <w:headerReference r:id="rId11" w:type="default"/>
      <w:footerReference r:id="rId13" w:type="default"/>
      <w:headerReference r:id="rId12" w:type="even"/>
      <w:footerReference r:id="rId14" w:type="even"/>
      <w:pgSz w:w="11906" w:h="16838"/>
      <w:pgMar w:top="567"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Light">
    <w:altName w:val="Arial Unicode MS"/>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A00002EF" w:usb1="420020EB"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6CB0"/>
    <w:rsid w:val="0000040A"/>
    <w:rsid w:val="00000A94"/>
    <w:rsid w:val="00001972"/>
    <w:rsid w:val="00001D9A"/>
    <w:rsid w:val="00007B3A"/>
    <w:rsid w:val="000107E0"/>
    <w:rsid w:val="00010DFB"/>
    <w:rsid w:val="00011FDE"/>
    <w:rsid w:val="00012FFD"/>
    <w:rsid w:val="00014162"/>
    <w:rsid w:val="00014340"/>
    <w:rsid w:val="00016A9C"/>
    <w:rsid w:val="00022184"/>
    <w:rsid w:val="00022762"/>
    <w:rsid w:val="000238E0"/>
    <w:rsid w:val="000249DB"/>
    <w:rsid w:val="000253C3"/>
    <w:rsid w:val="0002595E"/>
    <w:rsid w:val="000303C3"/>
    <w:rsid w:val="000331D3"/>
    <w:rsid w:val="000346A5"/>
    <w:rsid w:val="000359C3"/>
    <w:rsid w:val="00035A7D"/>
    <w:rsid w:val="000365ED"/>
    <w:rsid w:val="0004249A"/>
    <w:rsid w:val="00043282"/>
    <w:rsid w:val="00044286"/>
    <w:rsid w:val="000469E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6F2"/>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664"/>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D1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3E4"/>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7E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D1F"/>
    <w:rsid w:val="00302F5F"/>
    <w:rsid w:val="0030441D"/>
    <w:rsid w:val="00306063"/>
    <w:rsid w:val="00313B85"/>
    <w:rsid w:val="00317988"/>
    <w:rsid w:val="003221B4"/>
    <w:rsid w:val="0032258D"/>
    <w:rsid w:val="0032279E"/>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216"/>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2DB"/>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00E"/>
    <w:rsid w:val="0055013B"/>
    <w:rsid w:val="00551F6F"/>
    <w:rsid w:val="00555044"/>
    <w:rsid w:val="005605DD"/>
    <w:rsid w:val="00561475"/>
    <w:rsid w:val="00562308"/>
    <w:rsid w:val="0056487B"/>
    <w:rsid w:val="00564FB9"/>
    <w:rsid w:val="00566E56"/>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6A5"/>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DCF"/>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1F"/>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095"/>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C26"/>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8AA"/>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611"/>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C2"/>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34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079"/>
    <w:rsid w:val="009A72AD"/>
    <w:rsid w:val="009B09E0"/>
    <w:rsid w:val="009B0BC5"/>
    <w:rsid w:val="009B1247"/>
    <w:rsid w:val="009B6029"/>
    <w:rsid w:val="009B6971"/>
    <w:rsid w:val="009C27F1"/>
    <w:rsid w:val="009C3152"/>
    <w:rsid w:val="009C3257"/>
    <w:rsid w:val="009C4CFA"/>
    <w:rsid w:val="009C5070"/>
    <w:rsid w:val="009D112C"/>
    <w:rsid w:val="009D1385"/>
    <w:rsid w:val="009D428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1A6"/>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599"/>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20A"/>
    <w:rsid w:val="00A83D8D"/>
    <w:rsid w:val="00A8446B"/>
    <w:rsid w:val="00A8473F"/>
    <w:rsid w:val="00A862D6"/>
    <w:rsid w:val="00A8715E"/>
    <w:rsid w:val="00A9295B"/>
    <w:rsid w:val="00A93B09"/>
    <w:rsid w:val="00A952D7"/>
    <w:rsid w:val="00A963F7"/>
    <w:rsid w:val="00A96AD8"/>
    <w:rsid w:val="00A9733F"/>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3B7"/>
    <w:rsid w:val="00AE5EB4"/>
    <w:rsid w:val="00AF0C18"/>
    <w:rsid w:val="00AF47C5"/>
    <w:rsid w:val="00AF5398"/>
    <w:rsid w:val="00AF548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2E9F"/>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5C9A"/>
    <w:rsid w:val="00BE22F3"/>
    <w:rsid w:val="00BE5B52"/>
    <w:rsid w:val="00BE7B8D"/>
    <w:rsid w:val="00BF0993"/>
    <w:rsid w:val="00BF10A9"/>
    <w:rsid w:val="00BF1703"/>
    <w:rsid w:val="00BF231C"/>
    <w:rsid w:val="00BF51E5"/>
    <w:rsid w:val="00BF74A6"/>
    <w:rsid w:val="00C013AD"/>
    <w:rsid w:val="00C028C4"/>
    <w:rsid w:val="00C04904"/>
    <w:rsid w:val="00C056B3"/>
    <w:rsid w:val="00C103E5"/>
    <w:rsid w:val="00C11BCF"/>
    <w:rsid w:val="00C13319"/>
    <w:rsid w:val="00C13EE9"/>
    <w:rsid w:val="00C14628"/>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0C8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82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99A"/>
    <w:rsid w:val="00D4514F"/>
    <w:rsid w:val="00D451E2"/>
    <w:rsid w:val="00D45E89"/>
    <w:rsid w:val="00D45E8D"/>
    <w:rsid w:val="00D466AE"/>
    <w:rsid w:val="00D4734F"/>
    <w:rsid w:val="00D51BF3"/>
    <w:rsid w:val="00D5534F"/>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37C"/>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988"/>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97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17A29"/>
    <w:rsid w:val="00F25BB6"/>
    <w:rsid w:val="00F26B7E"/>
    <w:rsid w:val="00F27A3B"/>
    <w:rsid w:val="00F33817"/>
    <w:rsid w:val="00F34AC9"/>
    <w:rsid w:val="00F34C6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4FC"/>
    <w:rsid w:val="00F8256F"/>
    <w:rsid w:val="00F833BA"/>
    <w:rsid w:val="00F84FD0"/>
    <w:rsid w:val="00F859A8"/>
    <w:rsid w:val="00F86D87"/>
    <w:rsid w:val="00F9108B"/>
    <w:rsid w:val="00F91349"/>
    <w:rsid w:val="00F93A8A"/>
    <w:rsid w:val="00F95248"/>
    <w:rsid w:val="00F956A9"/>
    <w:rsid w:val="00F963ED"/>
    <w:rsid w:val="00F966CF"/>
    <w:rsid w:val="00F96CAE"/>
    <w:rsid w:val="00F96CB0"/>
    <w:rsid w:val="00F97C99"/>
    <w:rsid w:val="00FA662D"/>
    <w:rsid w:val="00FA73B1"/>
    <w:rsid w:val="00FB0CB9"/>
    <w:rsid w:val="00FB231D"/>
    <w:rsid w:val="00FB45F1"/>
    <w:rsid w:val="00FB4A72"/>
    <w:rsid w:val="00FB54E8"/>
    <w:rsid w:val="00FB7054"/>
    <w:rsid w:val="00FB7699"/>
    <w:rsid w:val="00FC17B7"/>
    <w:rsid w:val="00FC2CB7"/>
    <w:rsid w:val="00FC4090"/>
    <w:rsid w:val="00FC55B4"/>
    <w:rsid w:val="00FD00E6"/>
    <w:rsid w:val="00FD09A1"/>
    <w:rsid w:val="00FD2A7C"/>
    <w:rsid w:val="00FD59EB"/>
    <w:rsid w:val="00FD7299"/>
    <w:rsid w:val="00FD7935"/>
    <w:rsid w:val="00FE1FBE"/>
    <w:rsid w:val="00FE3901"/>
    <w:rsid w:val="00FE39D3"/>
    <w:rsid w:val="00FE4BCE"/>
    <w:rsid w:val="00FE54AE"/>
    <w:rsid w:val="00FE576A"/>
    <w:rsid w:val="00FE7E79"/>
    <w:rsid w:val="00FF3E7D"/>
    <w:rsid w:val="00FF5B99"/>
    <w:rsid w:val="00FF730C"/>
    <w:rsid w:val="00FF73F4"/>
    <w:rsid w:val="00FF7CE4"/>
    <w:rsid w:val="00FF7E39"/>
    <w:rsid w:val="4FF936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1"/>
    <w:semiHidden/>
    <w:unhideWhenUsed/>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uiPriority w:val="39"/>
    <w:pPr>
      <w:tabs>
        <w:tab w:val="right" w:leader="dot" w:pos="9344"/>
      </w:tabs>
      <w:spacing w:line="300" w:lineRule="exact"/>
      <w:ind w:left="629"/>
    </w:pPr>
    <w:rPr>
      <w:rFonts w:ascii="宋体"/>
    </w:rPr>
  </w:style>
  <w:style w:type="paragraph" w:styleId="22">
    <w:name w:val="footnote text"/>
    <w:basedOn w:val="1"/>
    <w:next w:val="1"/>
    <w:link w:val="100"/>
    <w:semiHidden/>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uiPriority w:val="0"/>
    <w:rPr>
      <w:rFonts w:ascii="Times New Roman" w:hAnsi="Times New Roman" w:eastAsia="宋体" w:cs="Times New Roman"/>
      <w:b/>
      <w:bCs/>
      <w:kern w:val="44"/>
      <w:sz w:val="44"/>
      <w:szCs w:val="44"/>
    </w:rPr>
  </w:style>
  <w:style w:type="character" w:customStyle="1" w:styleId="36">
    <w:name w:val="标题 2 Char"/>
    <w:link w:val="3"/>
    <w:uiPriority w:val="0"/>
    <w:rPr>
      <w:rFonts w:ascii="Arial" w:hAnsi="Arial" w:eastAsia="黑体" w:cs="Times New Roman"/>
      <w:b/>
      <w:bCs/>
      <w:sz w:val="32"/>
      <w:szCs w:val="32"/>
    </w:rPr>
  </w:style>
  <w:style w:type="character" w:customStyle="1" w:styleId="37">
    <w:name w:val="标题 3 Char"/>
    <w:link w:val="4"/>
    <w:uiPriority w:val="0"/>
    <w:rPr>
      <w:rFonts w:ascii="Times New Roman" w:hAnsi="Times New Roman" w:eastAsia="宋体" w:cs="Times New Roman"/>
      <w:b/>
      <w:bCs/>
      <w:sz w:val="32"/>
      <w:szCs w:val="32"/>
    </w:rPr>
  </w:style>
  <w:style w:type="character" w:customStyle="1" w:styleId="38">
    <w:name w:val="标题 4 Char"/>
    <w:link w:val="5"/>
    <w:uiPriority w:val="0"/>
    <w:rPr>
      <w:rFonts w:ascii="Arial" w:hAnsi="Arial" w:eastAsia="黑体" w:cs="Times New Roman"/>
      <w:b/>
      <w:bCs/>
      <w:sz w:val="28"/>
      <w:szCs w:val="28"/>
    </w:rPr>
  </w:style>
  <w:style w:type="character" w:customStyle="1" w:styleId="39">
    <w:name w:val="标题 5 Char"/>
    <w:link w:val="6"/>
    <w:uiPriority w:val="0"/>
    <w:rPr>
      <w:rFonts w:ascii="Times New Roman" w:hAnsi="Times New Roman" w:eastAsia="宋体" w:cs="Times New Roman"/>
      <w:b/>
      <w:bCs/>
      <w:sz w:val="28"/>
      <w:szCs w:val="28"/>
    </w:rPr>
  </w:style>
  <w:style w:type="character" w:customStyle="1" w:styleId="40">
    <w:name w:val="标题 6 Char"/>
    <w:link w:val="7"/>
    <w:uiPriority w:val="0"/>
    <w:rPr>
      <w:rFonts w:ascii="Arial" w:hAnsi="Arial" w:eastAsia="黑体" w:cs="Times New Roman"/>
      <w:b/>
      <w:bCs/>
      <w:sz w:val="24"/>
      <w:szCs w:val="24"/>
    </w:rPr>
  </w:style>
  <w:style w:type="character" w:customStyle="1" w:styleId="41">
    <w:name w:val="标题 7 Char"/>
    <w:link w:val="8"/>
    <w:uiPriority w:val="0"/>
    <w:rPr>
      <w:rFonts w:ascii="Times New Roman" w:hAnsi="Times New Roman" w:eastAsia="宋体" w:cs="Times New Roman"/>
      <w:b/>
      <w:bCs/>
      <w:sz w:val="24"/>
      <w:szCs w:val="24"/>
    </w:rPr>
  </w:style>
  <w:style w:type="character" w:customStyle="1" w:styleId="42">
    <w:name w:val="标题 8 Char"/>
    <w:link w:val="9"/>
    <w:uiPriority w:val="0"/>
    <w:rPr>
      <w:rFonts w:ascii="Arial" w:hAnsi="Arial" w:eastAsia="黑体" w:cs="Times New Roman"/>
      <w:sz w:val="24"/>
      <w:szCs w:val="24"/>
    </w:rPr>
  </w:style>
  <w:style w:type="character" w:customStyle="1" w:styleId="43">
    <w:name w:val="标题 9 Char"/>
    <w:link w:val="10"/>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uiPriority w:val="99"/>
    <w:rPr>
      <w:rFonts w:ascii="宋体" w:hAnsi="Times New Roman" w:eastAsia="宋体" w:cs="Times New Roman"/>
      <w:sz w:val="18"/>
      <w:szCs w:val="18"/>
    </w:rPr>
  </w:style>
  <w:style w:type="character" w:customStyle="1" w:styleId="46">
    <w:name w:val="批注框文本 Char"/>
    <w:link w:val="17"/>
    <w:semiHidden/>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uiPriority w:val="29"/>
    <w:rPr>
      <w:i/>
      <w:iCs/>
      <w:color w:val="000000"/>
    </w:rPr>
  </w:style>
  <w:style w:type="character" w:customStyle="1" w:styleId="49">
    <w:name w:val="标题 Char"/>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character" w:customStyle="1" w:styleId="231">
    <w:name w:val="文档结构图 Char"/>
    <w:basedOn w:val="29"/>
    <w:link w:val="13"/>
    <w:semiHidden/>
    <w:uiPriority w:val="99"/>
    <w:rPr>
      <w:rFonts w:ascii="宋体"/>
      <w:kern w:val="2"/>
      <w:sz w:val="18"/>
      <w:szCs w:val="18"/>
    </w:rPr>
  </w:style>
  <w:style w:type="paragraph" w:customStyle="1" w:styleId="232">
    <w:name w:val="Body text|1"/>
    <w:basedOn w:val="1"/>
    <w:uiPriority w:val="0"/>
    <w:pPr>
      <w:adjustRightInd/>
      <w:spacing w:before="100" w:beforeAutospacing="1" w:after="100" w:line="345" w:lineRule="auto"/>
      <w:ind w:firstLine="400"/>
    </w:pPr>
    <w:rPr>
      <w:rFonts w:ascii="宋体" w:hAnsi="宋体" w:cs="宋体"/>
      <w:sz w:val="19"/>
      <w:szCs w:val="19"/>
    </w:rPr>
  </w:style>
  <w:style w:type="paragraph" w:styleId="233">
    <w:name w:val="List Paragraph"/>
    <w:basedOn w:val="1"/>
    <w:qFormat/>
    <w:uiPriority w:val="99"/>
    <w:pPr>
      <w:adjustRightInd/>
      <w:spacing w:line="240" w:lineRule="auto"/>
      <w:ind w:firstLine="420" w:firstLineChars="200"/>
    </w:pPr>
    <w:rPr>
      <w:rFonts w:cs="Calibri"/>
    </w:rPr>
  </w:style>
  <w:style w:type="paragraph" w:customStyle="1" w:styleId="234">
    <w:name w:val="段"/>
    <w:basedOn w:val="1"/>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5">
    <w:name w:val="Other|1"/>
    <w:basedOn w:val="1"/>
    <w:uiPriority w:val="0"/>
    <w:pPr>
      <w:adjustRightInd/>
      <w:spacing w:before="100" w:beforeAutospacing="1" w:after="100" w:line="345" w:lineRule="auto"/>
      <w:ind w:firstLine="400"/>
    </w:pPr>
    <w:rPr>
      <w:rFonts w:ascii="宋体" w:hAnsi="宋体" w:cs="宋体"/>
      <w:sz w:val="19"/>
      <w:szCs w:val="19"/>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jpe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0DB5D8EF6924374A27B45BFB0EDD652"/>
        <w:style w:val=""/>
        <w:category>
          <w:name w:val="常规"/>
          <w:gallery w:val="placeholder"/>
        </w:category>
        <w:types>
          <w:type w:val="bbPlcHdr"/>
        </w:types>
        <w:behaviors>
          <w:behavior w:val="content"/>
        </w:behaviors>
        <w:description w:val=""/>
        <w:guid w:val="{A7AFFADC-2320-41A7-AFED-4ABC72899580}"/>
      </w:docPartPr>
      <w:docPartBody>
        <w:p>
          <w:pPr>
            <w:pStyle w:val="5"/>
          </w:pPr>
          <w:r>
            <w:rPr>
              <w:rStyle w:val="4"/>
              <w:rFonts w:hint="eastAsia"/>
            </w:rPr>
            <w:t>单击或点击此处输入文字。</w:t>
          </w:r>
        </w:p>
      </w:docPartBody>
    </w:docPart>
    <w:docPart>
      <w:docPartPr>
        <w:name w:val="F15B8A3E39E64F6FB42E8016BEE49472"/>
        <w:style w:val=""/>
        <w:category>
          <w:name w:val="常规"/>
          <w:gallery w:val="placeholder"/>
        </w:category>
        <w:types>
          <w:type w:val="bbPlcHdr"/>
        </w:types>
        <w:behaviors>
          <w:behavior w:val="content"/>
        </w:behaviors>
        <w:description w:val=""/>
        <w:guid w:val="{015E82ED-EEA4-433B-B6B8-A81E1858B76C}"/>
      </w:docPartPr>
      <w:docPartBody>
        <w:p>
          <w:pPr>
            <w:pStyle w:val="6"/>
          </w:pPr>
          <w:r>
            <w:rPr>
              <w:rStyle w:val="4"/>
              <w:rFonts w:hint="eastAsia"/>
            </w:rPr>
            <w:t>选择一项。</w:t>
          </w:r>
        </w:p>
      </w:docPartBody>
    </w:docPart>
    <w:docPart>
      <w:docPartPr>
        <w:name w:val="FC54DBB14953456C95BBB591E1678A6D"/>
        <w:style w:val=""/>
        <w:category>
          <w:name w:val="常规"/>
          <w:gallery w:val="placeholder"/>
        </w:category>
        <w:types>
          <w:type w:val="bbPlcHdr"/>
        </w:types>
        <w:behaviors>
          <w:behavior w:val="content"/>
        </w:behaviors>
        <w:description w:val=""/>
        <w:guid w:val="{3905966D-C360-4B4D-B091-83489226A9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0FA7"/>
    <w:rsid w:val="00003458"/>
    <w:rsid w:val="00460FA7"/>
    <w:rsid w:val="00547E76"/>
    <w:rsid w:val="009064AA"/>
    <w:rsid w:val="009F005F"/>
    <w:rsid w:val="00F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F0DB5D8EF6924374A27B45BFB0EDD65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15B8A3E39E64F6FB42E8016BEE4947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54DBB14953456C95BBB591E1678A6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E1AC35-3B5F-45F4-8B43-D2796CED262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6</Pages>
  <Words>484</Words>
  <Characters>2759</Characters>
  <Lines>22</Lines>
  <Paragraphs>6</Paragraphs>
  <TotalTime>842</TotalTime>
  <ScaleCrop>false</ScaleCrop>
  <LinksUpToDate>false</LinksUpToDate>
  <CharactersWithSpaces>3237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2021-03-22T07:51:00Z</dcterms:created>
  <dc:creator>USER</dc:creator>
  <dc:description>&lt;config cover="true" show_menu="true" version="1.0.0" doctype="SDKXY"&gt;_x000d_
&lt;/config&gt;</dc:description>
  <cp:lastModifiedBy>誰念誰川</cp:lastModifiedBy>
  <cp:lastPrinted>2021-02-02T08:22:00Z</cp:lastPrinted>
  <dcterms:modified xsi:type="dcterms:W3CDTF">2021-04-13T11:08:10Z</dcterms:modified>
  <dc:title>团体标准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2052-11.1.0.10463</vt:lpwstr>
  </property>
  <property fmtid="{D5CDD505-2E9C-101B-9397-08002B2CF9AE}" pid="16" name="ICV">
    <vt:lpwstr>E2E0AC53949C48DB8FDDA6ECC49DAB0E</vt:lpwstr>
  </property>
</Properties>
</file>